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123B5D"/>
          <w:sz w:val="42"/>
        </w:rPr>
        <w:t>DOCUMENT CONTROL PROCEDURE</w:t>
      </w:r>
    </w:p>
    <w:p>
      <w:pPr>
        <w:spacing w:after="240"/>
      </w:pPr>
      <w:r>
        <w:t>Reference procedure | control date 2026-07-29 | applies to synthetic Project Alpha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088"/>
            <w:shd w:fill="E8EEF5"/>
            <w:vAlign w:val="center"/>
          </w:tcPr>
          <w:p>
            <w:r>
              <w:t>Purpose</w:t>
            </w:r>
          </w:p>
        </w:tc>
        <w:tc>
          <w:tcPr>
            <w:tcW w:type="dxa" w:w="7488"/>
            <w:vAlign w:val="center"/>
          </w:tcPr>
          <w:p>
            <w:r>
              <w:t>Maintain a traceable, current, and reviewable record set for project controls.</w:t>
            </w:r>
          </w:p>
        </w:tc>
      </w:tr>
      <w:tr>
        <w:tc>
          <w:tcPr>
            <w:tcW w:type="dxa" w:w="2088"/>
            <w:shd w:fill="E8EEF5"/>
            <w:vAlign w:val="center"/>
          </w:tcPr>
          <w:p>
            <w:r>
              <w:t>Scope</w:t>
            </w:r>
          </w:p>
        </w:tc>
        <w:tc>
          <w:tcPr>
            <w:tcW w:type="dxa" w:w="7488"/>
            <w:vAlign w:val="center"/>
          </w:tcPr>
          <w:p>
            <w:r>
              <w:t>RFIs, change evaluations, inspection records, coordination notes, and closeout evidence.</w:t>
            </w:r>
          </w:p>
        </w:tc>
      </w:tr>
      <w:tr>
        <w:tc>
          <w:tcPr>
            <w:tcW w:type="dxa" w:w="2088"/>
            <w:shd w:fill="E8EEF5"/>
            <w:vAlign w:val="center"/>
          </w:tcPr>
          <w:p>
            <w:r>
              <w:t>Anchor</w:t>
            </w:r>
          </w:p>
        </w:tc>
        <w:tc>
          <w:tcPr>
            <w:tcW w:type="dxa" w:w="7488"/>
            <w:vAlign w:val="center"/>
          </w:tcPr>
          <w:p>
            <w:r>
              <w:t>Harbor Build / Project Alpha 2026 / CO-014 / JPY 18,600,000.</w:t>
            </w:r>
          </w:p>
        </w:tc>
      </w:tr>
    </w:tbl>
    <w:p>
      <w:pPr>
        <w:pStyle w:val="Heading1"/>
      </w:pPr>
      <w:r>
        <w:t>1. Intake and identification</w:t>
      </w:r>
    </w:p>
    <w:p>
      <w:r>
        <w:t>Assign a unique, readable identifier at intake. State the document type, project area, control date, revision, and source reference. Use roles rather than personal names.</w:t>
      </w:r>
    </w:p>
    <w:p>
      <w:r>
        <w:t>Store originals only in the controlled project path. This reference does not define a legal records-retention schedule.</w:t>
      </w:r>
    </w:p>
    <w:p>
      <w:pPr>
        <w:pStyle w:val="Heading1"/>
      </w:pPr>
      <w:r>
        <w:t>2. Review and distribution</w:t>
      </w:r>
    </w:p>
    <w:p>
      <w:r>
        <w:t>Check that the record is complete, legible, and connected to the affected drawing, specification, model issue, or meeting action. Distribution lists must be role-based and must not disclose site access or credentials.</w:t>
      </w:r>
    </w:p>
    <w:p>
      <w:r>
        <w:t>Issue a revision only when the content changes; preserve the prior control note in the log.</w:t>
      </w:r>
    </w:p>
    <w:p>
      <w:pPr>
        <w:pStyle w:val="Heading1"/>
      </w:pPr>
      <w:r>
        <w:t>3. Change control</w:t>
      </w:r>
    </w:p>
    <w:p>
      <w:r>
        <w:t>For CO-014, retain the seven component amounts and the arithmetic reconciliation to JPY 18,600,000. Separate a reviewed value from an approved action and from a field release.</w:t>
      </w:r>
    </w:p>
    <w:p>
      <w:r>
        <w:t>If a record changes scope, cost, sequence, or acceptance condition, link the related clarification and decision record before closing.</w:t>
      </w:r>
    </w:p>
    <w:p>
      <w:pPr>
        <w:pStyle w:val="Heading1"/>
      </w:pPr>
      <w:r>
        <w:t>4. Closeout and audit</w:t>
      </w:r>
    </w:p>
    <w:p>
      <w:r>
        <w:t>Before closeout, confirm the final disposition, evidence location, unresolved exceptions, and next owner action. Remove duplicates and drafts from the final reference folder; keep only the accepted controlled copy.</w:t>
      </w:r>
    </w:p>
    <w:p>
      <w:r>
        <w:br w:type="page"/>
      </w:r>
    </w:p>
    <w:p>
      <w:pPr>
        <w:pStyle w:val="Heading1"/>
      </w:pPr>
      <w:r>
        <w:t>Control checkpoints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088"/>
            <w:shd w:fill="E8EEF5"/>
          </w:tcPr>
          <w:p>
            <w:r>
              <w:t>Checkpoint</w:t>
            </w:r>
          </w:p>
        </w:tc>
        <w:tc>
          <w:tcPr>
            <w:tcW w:type="dxa" w:w="3528"/>
            <w:shd w:fill="E8EEF5"/>
          </w:tcPr>
          <w:p>
            <w:r>
              <w:t>Evidence</w:t>
            </w:r>
          </w:p>
        </w:tc>
        <w:tc>
          <w:tcPr>
            <w:tcW w:type="dxa" w:w="3960"/>
            <w:shd w:fill="E8EEF5"/>
          </w:tcPr>
          <w:p>
            <w:r>
              <w:t>Exit condition</w:t>
            </w:r>
          </w:p>
        </w:tc>
      </w:tr>
      <w:tr>
        <w:tc>
          <w:tcPr>
            <w:tcW w:type="dxa" w:w="3264"/>
            <w:vAlign w:val="center"/>
          </w:tcPr>
          <w:p>
            <w:r>
              <w:t>Issue</w:t>
            </w:r>
          </w:p>
        </w:tc>
        <w:tc>
          <w:tcPr>
            <w:tcW w:type="dxa" w:w="3264"/>
            <w:vAlign w:val="center"/>
          </w:tcPr>
          <w:p>
            <w:r>
              <w:t>Identifier and source reference</w:t>
            </w:r>
          </w:p>
        </w:tc>
        <w:tc>
          <w:tcPr>
            <w:tcW w:type="dxa" w:w="3264"/>
            <w:vAlign w:val="center"/>
          </w:tcPr>
          <w:p>
            <w:r>
              <w:t>Record is readable and scoped</w:t>
            </w:r>
          </w:p>
        </w:tc>
      </w:tr>
      <w:tr>
        <w:tc>
          <w:tcPr>
            <w:tcW w:type="dxa" w:w="3264"/>
            <w:vAlign w:val="center"/>
          </w:tcPr>
          <w:p>
            <w:r>
              <w:t>Review</w:t>
            </w:r>
          </w:p>
        </w:tc>
        <w:tc>
          <w:tcPr>
            <w:tcW w:type="dxa" w:w="3264"/>
            <w:vAlign w:val="center"/>
          </w:tcPr>
          <w:p>
            <w:r>
              <w:t>Role-based review note</w:t>
            </w:r>
          </w:p>
        </w:tc>
        <w:tc>
          <w:tcPr>
            <w:tcW w:type="dxa" w:w="3264"/>
            <w:vAlign w:val="center"/>
          </w:tcPr>
          <w:p>
            <w:r>
              <w:t>Disposition is stated</w:t>
            </w:r>
          </w:p>
        </w:tc>
      </w:tr>
      <w:tr>
        <w:tc>
          <w:tcPr>
            <w:tcW w:type="dxa" w:w="3264"/>
            <w:vAlign w:val="center"/>
          </w:tcPr>
          <w:p>
            <w:r>
              <w:t>Release</w:t>
            </w:r>
          </w:p>
        </w:tc>
        <w:tc>
          <w:tcPr>
            <w:tcW w:type="dxa" w:w="3264"/>
            <w:vAlign w:val="center"/>
          </w:tcPr>
          <w:p>
            <w:r>
              <w:t>Approved instruction where needed</w:t>
            </w:r>
          </w:p>
        </w:tc>
        <w:tc>
          <w:tcPr>
            <w:tcW w:type="dxa" w:w="3264"/>
            <w:vAlign w:val="center"/>
          </w:tcPr>
          <w:p>
            <w:r>
              <w:t>No implied authorization</w:t>
            </w:r>
          </w:p>
        </w:tc>
      </w:tr>
      <w:tr>
        <w:tc>
          <w:tcPr>
            <w:tcW w:type="dxa" w:w="3264"/>
            <w:vAlign w:val="center"/>
          </w:tcPr>
          <w:p>
            <w:r>
              <w:t>Close</w:t>
            </w:r>
          </w:p>
        </w:tc>
        <w:tc>
          <w:tcPr>
            <w:tcW w:type="dxa" w:w="3264"/>
            <w:vAlign w:val="center"/>
          </w:tcPr>
          <w:p>
            <w:r>
              <w:t>Linked evidence and exception status</w:t>
            </w:r>
          </w:p>
        </w:tc>
        <w:tc>
          <w:tcPr>
            <w:tcW w:type="dxa" w:w="3264"/>
            <w:vAlign w:val="center"/>
          </w:tcPr>
          <w:p>
            <w:r>
              <w:t>Follow-up is assigned or complete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Harbor Build - synthetic internal procedure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5B6D78"/>
        <w:sz w:val="16"/>
      </w:rPr>
      <w:t>HARBOR BUILD  /  PROJECT ALPHA 2026  /  DOCUMENT CONTROL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