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4"/>
        </w:rPr>
      </w:pPr>
      <w:r>
        <w:rPr>
          <w:rFonts w:ascii="Arial" w:hAnsi="Arial"/>
          <w:b/>
          <w:sz w:val="24"/>
        </w:rPr>
        <w:t>CO-014 Approval Memorandum</w:t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>Harbor Build | Project Alpha 2026 | Status date: 2026-07-29</w:t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>Recommendation</w:t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>Approve Change Order CO-014 for JPY 18,600,000, subject to the controlled scope and schedule conditions below.</w:t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>Basis</w:t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>The commercial review reconciles seven scope lines covering coordinated design, structural, MEP, fire protection, envelope, commissioning, and project controls work.</w:t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>Decision controls</w:t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>1. Record the approved amount in the change register.</w:t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>2. Release procurement only for approved material lines.</w:t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>3. Maintain the revised access sequence in the look-ahead plan.</w:t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>Approval route</w:t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>Project Controls: recommended</w:t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>Commercial Controls: reviewed</w:t>
      </w:r>
    </w:p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>Authorized Approver: pending signature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游明朝体" w:cs="Arial Unicode MS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游明朝体" w:cs="Arial Unicode MS"/>
      <w:color w:val="auto"/>
      <w:kern w:val="2"/>
      <w:sz w:val="24"/>
      <w:szCs w:val="24"/>
      <w:lang w:val="en-US" w:eastAsia="ja-JP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cp:revision>0</cp:revision>
  <dc:subject/>
  <dc:title/>
</cp:coreProperties>
</file>