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/>
      </w:pPr>
      <w:r>
        <w:rPr>
          <w:rFonts w:ascii="Calibri" w:hAnsi="Calibri"/>
          <w:b/>
          <w:color w:val="1F4D78"/>
          <w:sz w:val="38"/>
        </w:rPr>
        <w:t>RFI-021 — Roof drain offset</w:t>
      </w:r>
    </w:p>
    <w:p>
      <w:r>
        <w:rPr>
          <w:rFonts w:ascii="Calibri" w:hAnsi="Calibri"/>
          <w:b/>
          <w:color w:val="666666"/>
          <w:sz w:val="20"/>
        </w:rPr>
        <w:t>REQUEST FOR INFORMATION | Harbor Build | Project Alpha 2026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RFI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RFI-021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Issued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2026-07-29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Open - designer confirmation required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Related change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CO-014 | JPY 18,600,000 context allowance</w:t>
            </w:r>
          </w:p>
        </w:tc>
      </w:tr>
    </w:tbl>
    <w:p>
      <w:pPr>
        <w:pStyle w:val="Heading1"/>
      </w:pPr>
      <w:r>
        <w:t>Question</w:t>
      </w:r>
    </w:p>
    <w:p>
      <w:r>
        <w:rPr>
          <w:rFonts w:ascii="Calibri" w:hAnsi="Calibri"/>
          <w:b w:val="0"/>
          <w:color w:val="0B2545"/>
          <w:sz w:val="22"/>
        </w:rPr>
        <w:t>The roof drain centerline lands within the structural curb clearance zone. Confirm whether a 450 mm offset is acceptable while maintaining slope and membrane detailing.</w:t>
      </w:r>
    </w:p>
    <w:p>
      <w:pPr>
        <w:pStyle w:val="Heading1"/>
      </w:pPr>
      <w:r>
        <w:t>Designer response / coordination direction</w:t>
      </w:r>
    </w:p>
    <w:p>
      <w:r>
        <w:rPr>
          <w:rFonts w:ascii="Calibri" w:hAnsi="Calibri"/>
          <w:b w:val="0"/>
          <w:color w:val="0B2545"/>
          <w:sz w:val="22"/>
        </w:rPr>
        <w:t>Proposed field coordination direction is a 450 mm offset away from the curb, pending designer confirmation. Maintain positive drainage, coordinate flashing transitions, and do not begin final membrane work until written closure.</w:t>
      </w:r>
    </w:p>
    <w:p>
      <w:pPr>
        <w:pStyle w:val="Heading1"/>
      </w:pPr>
      <w:r>
        <w:t>Schedule and cost review</w:t>
      </w:r>
    </w:p>
    <w:p>
      <w:r>
        <w:rPr>
          <w:rFonts w:ascii="Calibri" w:hAnsi="Calibri"/>
          <w:b w:val="0"/>
          <w:color w:val="0B2545"/>
          <w:sz w:val="22"/>
        </w:rPr>
        <w:t>This remains an open high-priority item because roofing sequence is affected. CO-014 and its JPY 18,600,000 context allowance are not changed by this RFI.</w:t>
      </w:r>
    </w:p>
    <w:p>
      <w:pPr>
        <w:pStyle w:val="Heading1"/>
      </w:pPr>
      <w:r>
        <w:t>Required follow-up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Designer to confirm 450 mm offset and flashing detail.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Roofing lead to hold final membrane at the affected bay.</w:t>
      </w:r>
    </w:p>
    <w:p>
      <w:pPr>
        <w:pStyle w:val="ListNumber"/>
        <w:spacing w:after="100"/>
      </w:pPr>
      <w:r>
        <w:rPr>
          <w:rFonts w:ascii="Calibri" w:hAnsi="Calibri"/>
          <w:b w:val="0"/>
          <w:color w:val="0B2545"/>
          <w:sz w:val="22"/>
        </w:rPr>
        <w:t>Update RFI log within one working day of response.</w:t>
      </w:r>
    </w:p>
    <w:p>
      <w:pPr>
        <w:pStyle w:val="Heading2"/>
      </w:pPr>
      <w:r>
        <w:t>Distribution</w:t>
      </w:r>
    </w:p>
    <w:p>
      <w:r>
        <w:rPr>
          <w:rFonts w:ascii="Calibri" w:hAnsi="Calibri"/>
          <w:b w:val="0"/>
          <w:color w:val="666666"/>
          <w:sz w:val="20"/>
        </w:rPr>
        <w:t>Project controls, field supervision, structural coordination, and design review. Synthetic record; no site access or external contacts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Synthetic coordination record | 2026-07-29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HARBOR BUILD | PROJECT ALPHA 2026 | RFI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