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ubtitle"/>
      </w:pPr>
      <w:r>
        <w:t>HARBOR BUILD | PROJECT ALPHA 2026 | SPECIFICATION CONTROL</w:t>
      </w:r>
    </w:p>
    <w:p>
      <w:pPr>
        <w:pStyle w:val="Title"/>
      </w:pPr>
      <w:r>
        <w:t>Specification Deviation Log</w:t>
      </w:r>
    </w:p>
    <w:p>
      <w:r>
        <w:t>Harbor Build | Project Alpha 2026 | Issued 2026-07-29 | CO-014 | JPY 18,600,000</w:t>
      </w:r>
    </w:p>
    <w:p>
      <w:r>
        <w:t>Controlled register of proposed and resolved departures from the issued specification set.</w:t>
      </w:r>
    </w:p>
    <w:p>
      <w:pPr>
        <w:pStyle w:val="Heading1"/>
      </w:pPr>
      <w:r>
        <w:t>Control Register</w:t>
      </w:r>
    </w:p>
    <w:tbl>
      <w:tblPr>
        <w:tblW w:w="9000" w:type="dxa"/>
        <w:tblLayout w:type="fixed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r>
        <w:tc>
          <w:tcPr>
            <w:tcW w:w="2250" w:type="dxa"/>
          </w:tcPr>
          <w:p>
            <w:r>
              <w:t>ID</w:t>
            </w:r>
          </w:p>
        </w:tc>
        <w:tc>
          <w:tcPr>
            <w:tcW w:w="2250" w:type="dxa"/>
          </w:tcPr>
          <w:p>
            <w:r>
              <w:t>Section</w:t>
            </w:r>
          </w:p>
        </w:tc>
        <w:tc>
          <w:tcPr>
            <w:tcW w:w="2250" w:type="dxa"/>
          </w:tcPr>
          <w:p>
            <w:r>
              <w:t>Deviation</w:t>
            </w:r>
          </w:p>
        </w:tc>
        <w:tc>
          <w:tcPr>
            <w:tcW w:w="2250" w:type="dxa"/>
          </w:tcPr>
          <w:p>
            <w:r>
              <w:t>Disposition</w:t>
            </w:r>
          </w:p>
        </w:tc>
      </w:tr>
      <w:tr>
        <w:tc>
          <w:tcPr>
            <w:tcW w:w="2250" w:type="dxa"/>
          </w:tcPr>
          <w:p>
            <w:r>
              <w:t>DEV-017</w:t>
            </w:r>
          </w:p>
        </w:tc>
        <w:tc>
          <w:tcPr>
            <w:tcW w:w="2250" w:type="dxa"/>
          </w:tcPr>
          <w:p>
            <w:r>
              <w:t>03 30 00</w:t>
            </w:r>
          </w:p>
        </w:tc>
        <w:tc>
          <w:tcPr>
            <w:tcW w:w="2250" w:type="dxa"/>
          </w:tcPr>
          <w:p>
            <w:r>
              <w:t>Cold-weather curing sequence differs from baseline note.</w:t>
            </w:r>
          </w:p>
        </w:tc>
        <w:tc>
          <w:tcPr>
            <w:tcW w:w="2250" w:type="dxa"/>
          </w:tcPr>
          <w:p>
            <w:r>
              <w:t>Approved with monitoring</w:t>
            </w:r>
          </w:p>
        </w:tc>
      </w:tr>
      <w:tr>
        <w:tc>
          <w:tcPr>
            <w:tcW w:w="2250" w:type="dxa"/>
          </w:tcPr>
          <w:p>
            <w:r>
              <w:t>DEV-018</w:t>
            </w:r>
          </w:p>
        </w:tc>
        <w:tc>
          <w:tcPr>
            <w:tcW w:w="2250" w:type="dxa"/>
          </w:tcPr>
          <w:p>
            <w:r>
              <w:t>05 12 00</w:t>
            </w:r>
          </w:p>
        </w:tc>
        <w:tc>
          <w:tcPr>
            <w:tcW w:w="2250" w:type="dxa"/>
          </w:tcPr>
          <w:p>
            <w:r>
              <w:t>Connection coating touch-up sequence revised.</w:t>
            </w:r>
          </w:p>
        </w:tc>
        <w:tc>
          <w:tcPr>
            <w:tcW w:w="2250" w:type="dxa"/>
          </w:tcPr>
          <w:p>
            <w:r>
              <w:t>Pending evidence</w:t>
            </w:r>
          </w:p>
        </w:tc>
      </w:tr>
      <w:tr>
        <w:tc>
          <w:tcPr>
            <w:tcW w:w="2250" w:type="dxa"/>
          </w:tcPr>
          <w:p>
            <w:r>
              <w:t>DEV-019</w:t>
            </w:r>
          </w:p>
        </w:tc>
        <w:tc>
          <w:tcPr>
            <w:tcW w:w="2250" w:type="dxa"/>
          </w:tcPr>
          <w:p>
            <w:r>
              <w:t>26 05 00</w:t>
            </w:r>
          </w:p>
        </w:tc>
        <w:tc>
          <w:tcPr>
            <w:tcW w:w="2250" w:type="dxa"/>
          </w:tcPr>
          <w:p>
            <w:r>
              <w:t>Sleeve routing coordination adjustment.</w:t>
            </w:r>
          </w:p>
        </w:tc>
        <w:tc>
          <w:tcPr>
            <w:tcW w:w="2250" w:type="dxa"/>
          </w:tcPr>
          <w:p>
            <w:r>
              <w:t>Accepted clarification</w:t>
            </w:r>
          </w:p>
        </w:tc>
      </w:tr>
    </w:tbl>
    <w:p>
      <w:pPr>
        <w:pStyle w:val="Heading1"/>
      </w:pPr>
      <w:r>
        <w:t>Review Protocol</w:t>
      </w:r>
    </w:p>
    <w:p>
      <w:r>
        <w:t>Review each item against the issued specification, coordination model, and approved written clarifications. Record disposition and due date before release.</w:t>
      </w:r>
    </w:p>
    <w:sectPr>
      <w:pgSz w:w="12240" w:h="15840"/>
      <w:pgMar w:top="1080" w:right="1152" w:bottom="1080" w:left="115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/>
      <w:sz w:val="22"/>
    </w:rPr>
  </w:style>
  <w:style w:type="paragraph" w:styleId="Title">
    <w:name w:val="Title"/>
    <w:rPr>
      <w:color w:val="123B5D"/>
      <w:sz w:val="38"/>
      <w:b/>
    </w:rPr>
  </w:style>
  <w:style w:type="paragraph" w:styleId="Heading1">
    <w:name w:val="heading 1"/>
    <w:rPr>
      <w:color w:val="1F5F89"/>
      <w:sz w:val="28"/>
      <w:b/>
    </w:rPr>
  </w:style>
  <w:style w:type="paragraph" w:styleId="Subtitle">
    <w:name w:val="Subtitle"/>
    <w:rPr>
      <w:color w:val="666666"/>
      <w:sz w:val="18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