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Subtitle"/>
      </w:pPr>
      <w:r>
        <w:t>HARBOR BUILD | PROJECT ALPHA 2026 | SPECIFICATION CONTROL</w:t>
      </w:r>
    </w:p>
    <w:p>
      <w:pPr>
        <w:pStyle w:val="Title"/>
      </w:pPr>
      <w:r>
        <w:t>Specification Clarifications</w:t>
      </w:r>
    </w:p>
    <w:p>
      <w:r>
        <w:t>Harbor Build | Project Alpha 2026 | Issued 2026-07-29 | CO-014 | JPY 18,600,000</w:t>
      </w:r>
    </w:p>
    <w:p>
      <w:r>
        <w:t>Issued clarifications for consistent interpretation; these notes do not replace contract requirements.</w:t>
      </w:r>
    </w:p>
    <w:p>
      <w:pPr>
        <w:pStyle w:val="Heading1"/>
      </w:pPr>
      <w:r>
        <w:t>Control Register</w:t>
      </w:r>
    </w:p>
    <w:tbl>
      <w:tblPr>
        <w:tblW w:w="9000" w:type="dxa"/>
        <w:tblLayout w:type="fixed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r>
        <w:tc>
          <w:tcPr>
            <w:tcW w:w="2250" w:type="dxa"/>
          </w:tcPr>
          <w:p>
            <w:r>
              <w:t>Ref</w:t>
            </w:r>
          </w:p>
        </w:tc>
        <w:tc>
          <w:tcPr>
            <w:tcW w:w="2250" w:type="dxa"/>
          </w:tcPr>
          <w:p>
            <w:r>
              <w:t>Question</w:t>
            </w:r>
          </w:p>
        </w:tc>
        <w:tc>
          <w:tcPr>
            <w:tcW w:w="2250" w:type="dxa"/>
          </w:tcPr>
          <w:p>
            <w:r>
              <w:t>Clarification</w:t>
            </w:r>
          </w:p>
        </w:tc>
        <w:tc>
          <w:tcPr>
            <w:tcW w:w="2250" w:type="dxa"/>
          </w:tcPr>
          <w:p>
            <w:r>
              <w:t>Status</w:t>
            </w:r>
          </w:p>
        </w:tc>
      </w:tr>
      <w:tr>
        <w:tc>
          <w:tcPr>
            <w:tcW w:w="2250" w:type="dxa"/>
          </w:tcPr>
          <w:p>
            <w:r>
              <w:t>CL-021</w:t>
            </w:r>
          </w:p>
        </w:tc>
        <w:tc>
          <w:tcPr>
            <w:tcW w:w="2250" w:type="dxa"/>
          </w:tcPr>
          <w:p>
            <w:r>
              <w:t>Does CO-014 alter insulation submittals?</w:t>
            </w:r>
          </w:p>
        </w:tc>
        <w:tc>
          <w:tcPr>
            <w:tcW w:w="2250" w:type="dxa"/>
          </w:tcPr>
          <w:p>
            <w:r>
              <w:t>No; document sequencing impact only.</w:t>
            </w:r>
          </w:p>
        </w:tc>
        <w:tc>
          <w:tcPr>
            <w:tcW w:w="2250" w:type="dxa"/>
          </w:tcPr>
          <w:p>
            <w:r>
              <w:t>Issued</w:t>
            </w:r>
          </w:p>
        </w:tc>
      </w:tr>
      <w:tr>
        <w:tc>
          <w:tcPr>
            <w:tcW w:w="2250" w:type="dxa"/>
          </w:tcPr>
          <w:p>
            <w:r>
              <w:t>CL-022</w:t>
            </w:r>
          </w:p>
        </w:tc>
        <w:tc>
          <w:tcPr>
            <w:tcW w:w="2250" w:type="dxa"/>
          </w:tcPr>
          <w:p>
            <w:r>
              <w:t>How are ceiling conflicts recorded?</w:t>
            </w:r>
          </w:p>
        </w:tc>
        <w:tc>
          <w:tcPr>
            <w:tcW w:w="2250" w:type="dxa"/>
          </w:tcPr>
          <w:p>
            <w:r>
              <w:t>Log in coordination model and cite section.</w:t>
            </w:r>
          </w:p>
        </w:tc>
        <w:tc>
          <w:tcPr>
            <w:tcW w:w="2250" w:type="dxa"/>
          </w:tcPr>
          <w:p>
            <w:r>
              <w:t>Issued</w:t>
            </w:r>
          </w:p>
        </w:tc>
      </w:tr>
      <w:tr>
        <w:tc>
          <w:tcPr>
            <w:tcW w:w="2250" w:type="dxa"/>
          </w:tcPr>
          <w:p>
            <w:r>
              <w:t>CL-023</w:t>
            </w:r>
          </w:p>
        </w:tc>
        <w:tc>
          <w:tcPr>
            <w:tcW w:w="2250" w:type="dxa"/>
          </w:tcPr>
          <w:p>
            <w:r>
              <w:t>May alternate gypsum board be ordered?</w:t>
            </w:r>
          </w:p>
        </w:tc>
        <w:tc>
          <w:tcPr>
            <w:tcW w:w="2250" w:type="dxa"/>
          </w:tcPr>
          <w:p>
            <w:r>
              <w:t>Requires written product review.</w:t>
            </w:r>
          </w:p>
        </w:tc>
        <w:tc>
          <w:tcPr>
            <w:tcW w:w="2250" w:type="dxa"/>
          </w:tcPr>
          <w:p>
            <w:r>
              <w:t>Open</w:t>
            </w:r>
          </w:p>
        </w:tc>
      </w:tr>
    </w:tbl>
    <w:p>
      <w:pPr>
        <w:pStyle w:val="Heading1"/>
      </w:pPr>
      <w:r>
        <w:t>Review Protocol</w:t>
      </w:r>
    </w:p>
    <w:p>
      <w:r>
        <w:t>Review each item against the issued specification, coordination model, and approved written clarifications. Record disposition and due date before release.</w:t>
      </w:r>
    </w:p>
    <w:sectPr>
      <w:pgSz w:w="12240" w:h="15840"/>
      <w:pgMar w:top="1080" w:right="1152" w:bottom="1080" w:left="1152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/>
      <w:sz w:val="22"/>
    </w:rPr>
  </w:style>
  <w:style w:type="paragraph" w:styleId="Title">
    <w:name w:val="Title"/>
    <w:rPr>
      <w:color w:val="123B5D"/>
      <w:sz w:val="38"/>
      <w:b/>
    </w:rPr>
  </w:style>
  <w:style w:type="paragraph" w:styleId="Heading1">
    <w:name w:val="heading 1"/>
    <w:rPr>
      <w:color w:val="1F5F89"/>
      <w:sz w:val="28"/>
      <w:b/>
    </w:rPr>
  </w:style>
  <w:style w:type="paragraph" w:styleId="Subtitle">
    <w:name w:val="Subtitle"/>
    <w:rPr>
      <w:color w:val="666666"/>
      <w:sz w:val="18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