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4324A"/>
          <w:sz w:val="44"/>
        </w:rPr>
        <w:t>Project Beta Specification Comments</w:t>
      </w:r>
    </w:p>
    <w:p>
      <w:r>
        <w:t>Review register for coordinated issue PB-26.07.29-C. The comments below are resolved-direction notes for the next issued package; no site access, customer data, or Project Alpha cost information is included.</w:t>
      </w:r>
    </w:p>
    <w:p>
      <w:pPr>
        <w:pStyle w:val="Heading1"/>
      </w:pPr>
      <w:r>
        <w:t>Review Direction</w:t>
      </w:r>
    </w:p>
    <w:p>
      <w:r>
        <w:t>The package is acceptable for continued coordination once the listed owners confirm closure evidence. Items marked Open must be tracked in the next coordination agenda and reflected in the applicable technical section.</w:t>
      </w:r>
    </w:p>
    <w:p>
      <w:pPr>
        <w:pStyle w:val="Heading1"/>
      </w:pPr>
      <w:r>
        <w:t>Comment Register</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c>
          <w:tcPr>
            <w:tcW w:type="dxa" w:w="792"/>
            <w:vAlign w:val="center"/>
            <w:tcMar>
              <w:top w:w="120" w:type="dxa"/>
              <w:start w:w="120" w:type="dxa"/>
              <w:bottom w:w="120" w:type="dxa"/>
              <w:end w:w="120" w:type="dxa"/>
            </w:tcMar>
            <w:shd w:fill="E8EEF5"/>
          </w:tcPr>
          <w:p>
            <w:r>
              <w:rPr>
                <w:b/>
                <w:sz w:val="18"/>
              </w:rPr>
              <w:t>ID</w:t>
            </w:r>
          </w:p>
        </w:tc>
        <w:tc>
          <w:tcPr>
            <w:tcW w:type="dxa" w:w="1440"/>
            <w:vAlign w:val="center"/>
            <w:tcMar>
              <w:top w:w="120" w:type="dxa"/>
              <w:start w:w="120" w:type="dxa"/>
              <w:bottom w:w="120" w:type="dxa"/>
              <w:end w:w="120" w:type="dxa"/>
            </w:tcMar>
            <w:shd w:fill="E8EEF5"/>
          </w:tcPr>
          <w:p>
            <w:r>
              <w:rPr>
                <w:b/>
                <w:sz w:val="18"/>
              </w:rPr>
              <w:t>Section</w:t>
            </w:r>
          </w:p>
        </w:tc>
        <w:tc>
          <w:tcPr>
            <w:tcW w:type="dxa" w:w="3816"/>
            <w:vAlign w:val="center"/>
            <w:tcMar>
              <w:top w:w="120" w:type="dxa"/>
              <w:start w:w="120" w:type="dxa"/>
              <w:bottom w:w="120" w:type="dxa"/>
              <w:end w:w="120" w:type="dxa"/>
            </w:tcMar>
            <w:shd w:fill="E8EEF5"/>
          </w:tcPr>
          <w:p>
            <w:r>
              <w:rPr>
                <w:b/>
                <w:sz w:val="18"/>
              </w:rPr>
              <w:t>Comment / Required Action</w:t>
            </w:r>
          </w:p>
        </w:tc>
        <w:tc>
          <w:tcPr>
            <w:tcW w:type="dxa" w:w="1656"/>
            <w:vAlign w:val="center"/>
            <w:tcMar>
              <w:top w:w="120" w:type="dxa"/>
              <w:start w:w="120" w:type="dxa"/>
              <w:bottom w:w="120" w:type="dxa"/>
              <w:end w:w="120" w:type="dxa"/>
            </w:tcMar>
            <w:shd w:fill="E8EEF5"/>
          </w:tcPr>
          <w:p>
            <w:r>
              <w:rPr>
                <w:b/>
                <w:sz w:val="18"/>
              </w:rPr>
              <w:t>Owner</w:t>
            </w:r>
          </w:p>
        </w:tc>
        <w:tc>
          <w:tcPr>
            <w:tcW w:type="dxa" w:w="1656"/>
            <w:vAlign w:val="center"/>
            <w:tcMar>
              <w:top w:w="120" w:type="dxa"/>
              <w:start w:w="120" w:type="dxa"/>
              <w:bottom w:w="120" w:type="dxa"/>
              <w:end w:w="120" w:type="dxa"/>
            </w:tcMar>
            <w:shd w:fill="E8EEF5"/>
          </w:tcPr>
          <w:p>
            <w:r>
              <w:rPr>
                <w:b/>
                <w:sz w:val="18"/>
              </w:rPr>
              <w:t>Status</w:t>
            </w:r>
          </w:p>
        </w:tc>
      </w:tr>
      <w:tr>
        <w:tc>
          <w:tcPr>
            <w:tcW w:type="dxa" w:w="792"/>
            <w:vAlign w:val="center"/>
            <w:tcMar>
              <w:top w:w="120" w:type="dxa"/>
              <w:start w:w="120" w:type="dxa"/>
              <w:bottom w:w="120" w:type="dxa"/>
              <w:end w:w="120" w:type="dxa"/>
            </w:tcMar>
          </w:tcPr>
          <w:p>
            <w:pPr>
              <w:spacing w:after="40"/>
            </w:pPr>
            <w:r>
              <w:rPr>
                <w:sz w:val="17"/>
              </w:rPr>
              <w:t>C-01</w:t>
            </w:r>
          </w:p>
        </w:tc>
        <w:tc>
          <w:tcPr>
            <w:tcW w:type="dxa" w:w="1440"/>
            <w:vAlign w:val="center"/>
            <w:tcMar>
              <w:top w:w="120" w:type="dxa"/>
              <w:start w:w="120" w:type="dxa"/>
              <w:bottom w:w="120" w:type="dxa"/>
              <w:end w:w="120" w:type="dxa"/>
            </w:tcMar>
          </w:tcPr>
          <w:p>
            <w:pPr>
              <w:spacing w:after="40"/>
            </w:pPr>
            <w:r>
              <w:rPr>
                <w:sz w:val="17"/>
              </w:rPr>
              <w:t>01 33 00</w:t>
            </w:r>
          </w:p>
        </w:tc>
        <w:tc>
          <w:tcPr>
            <w:tcW w:type="dxa" w:w="3816"/>
            <w:vAlign w:val="center"/>
            <w:tcMar>
              <w:top w:w="120" w:type="dxa"/>
              <w:start w:w="120" w:type="dxa"/>
              <w:bottom w:w="120" w:type="dxa"/>
              <w:end w:w="120" w:type="dxa"/>
            </w:tcMar>
          </w:tcPr>
          <w:p>
            <w:pPr>
              <w:spacing w:after="40"/>
            </w:pPr>
            <w:r>
              <w:rPr>
                <w:sz w:val="17"/>
              </w:rPr>
              <w:t>Add a closeout-index sample showing section, revision date, responsible trade, and receipt location.</w:t>
            </w:r>
          </w:p>
        </w:tc>
        <w:tc>
          <w:tcPr>
            <w:tcW w:type="dxa" w:w="1656"/>
            <w:vAlign w:val="center"/>
            <w:tcMar>
              <w:top w:w="120" w:type="dxa"/>
              <w:start w:w="120" w:type="dxa"/>
              <w:bottom w:w="120" w:type="dxa"/>
              <w:end w:w="120" w:type="dxa"/>
            </w:tcMar>
          </w:tcPr>
          <w:p>
            <w:pPr>
              <w:spacing w:after="40"/>
            </w:pPr>
            <w:r>
              <w:rPr>
                <w:sz w:val="17"/>
              </w:rPr>
              <w:t>PM / GC</w:t>
            </w:r>
          </w:p>
        </w:tc>
        <w:tc>
          <w:tcPr>
            <w:tcW w:type="dxa" w:w="1656"/>
            <w:vAlign w:val="center"/>
            <w:tcMar>
              <w:top w:w="120" w:type="dxa"/>
              <w:start w:w="120" w:type="dxa"/>
              <w:bottom w:w="120" w:type="dxa"/>
              <w:end w:w="120" w:type="dxa"/>
            </w:tcMar>
          </w:tcPr>
          <w:p>
            <w:pPr>
              <w:spacing w:after="40"/>
            </w:pPr>
            <w:r>
              <w:rPr>
                <w:sz w:val="17"/>
              </w:rPr>
              <w:t>Open</w:t>
            </w:r>
          </w:p>
        </w:tc>
      </w:tr>
      <w:tr>
        <w:tc>
          <w:tcPr>
            <w:tcW w:type="dxa" w:w="792"/>
            <w:vAlign w:val="center"/>
            <w:tcMar>
              <w:top w:w="120" w:type="dxa"/>
              <w:start w:w="120" w:type="dxa"/>
              <w:bottom w:w="120" w:type="dxa"/>
              <w:end w:w="120" w:type="dxa"/>
            </w:tcMar>
          </w:tcPr>
          <w:p>
            <w:pPr>
              <w:spacing w:after="40"/>
            </w:pPr>
            <w:r>
              <w:rPr>
                <w:sz w:val="17"/>
              </w:rPr>
              <w:t>C-02</w:t>
            </w:r>
          </w:p>
        </w:tc>
        <w:tc>
          <w:tcPr>
            <w:tcW w:type="dxa" w:w="1440"/>
            <w:vAlign w:val="center"/>
            <w:tcMar>
              <w:top w:w="120" w:type="dxa"/>
              <w:start w:w="120" w:type="dxa"/>
              <w:bottom w:w="120" w:type="dxa"/>
              <w:end w:w="120" w:type="dxa"/>
            </w:tcMar>
          </w:tcPr>
          <w:p>
            <w:pPr>
              <w:spacing w:after="40"/>
            </w:pPr>
            <w:r>
              <w:rPr>
                <w:sz w:val="17"/>
              </w:rPr>
              <w:t>03 30 00</w:t>
            </w:r>
          </w:p>
        </w:tc>
        <w:tc>
          <w:tcPr>
            <w:tcW w:type="dxa" w:w="3816"/>
            <w:vAlign w:val="center"/>
            <w:tcMar>
              <w:top w:w="120" w:type="dxa"/>
              <w:start w:w="120" w:type="dxa"/>
              <w:bottom w:w="120" w:type="dxa"/>
              <w:end w:w="120" w:type="dxa"/>
            </w:tcMar>
          </w:tcPr>
          <w:p>
            <w:pPr>
              <w:spacing w:after="40"/>
            </w:pPr>
            <w:r>
              <w:rPr>
                <w:sz w:val="17"/>
              </w:rPr>
              <w:t>Confirm patch acceptance record includes ambient conditions, cure method, and photo reference before finish release.</w:t>
            </w:r>
          </w:p>
        </w:tc>
        <w:tc>
          <w:tcPr>
            <w:tcW w:type="dxa" w:w="1656"/>
            <w:vAlign w:val="center"/>
            <w:tcMar>
              <w:top w:w="120" w:type="dxa"/>
              <w:start w:w="120" w:type="dxa"/>
              <w:bottom w:w="120" w:type="dxa"/>
              <w:end w:w="120" w:type="dxa"/>
            </w:tcMar>
          </w:tcPr>
          <w:p>
            <w:pPr>
              <w:spacing w:after="40"/>
            </w:pPr>
            <w:r>
              <w:rPr>
                <w:sz w:val="17"/>
              </w:rPr>
              <w:t>Concrete</w:t>
            </w:r>
          </w:p>
        </w:tc>
        <w:tc>
          <w:tcPr>
            <w:tcW w:type="dxa" w:w="1656"/>
            <w:vAlign w:val="center"/>
            <w:tcMar>
              <w:top w:w="120" w:type="dxa"/>
              <w:start w:w="120" w:type="dxa"/>
              <w:bottom w:w="120" w:type="dxa"/>
              <w:end w:w="120" w:type="dxa"/>
            </w:tcMar>
          </w:tcPr>
          <w:p>
            <w:pPr>
              <w:spacing w:after="40"/>
            </w:pPr>
            <w:r>
              <w:rPr>
                <w:sz w:val="17"/>
              </w:rPr>
              <w:t>Open</w:t>
            </w:r>
          </w:p>
        </w:tc>
      </w:tr>
      <w:tr>
        <w:tc>
          <w:tcPr>
            <w:tcW w:type="dxa" w:w="792"/>
            <w:vAlign w:val="center"/>
            <w:tcMar>
              <w:top w:w="120" w:type="dxa"/>
              <w:start w:w="120" w:type="dxa"/>
              <w:bottom w:w="120" w:type="dxa"/>
              <w:end w:w="120" w:type="dxa"/>
            </w:tcMar>
          </w:tcPr>
          <w:p>
            <w:pPr>
              <w:spacing w:after="40"/>
            </w:pPr>
            <w:r>
              <w:rPr>
                <w:sz w:val="17"/>
              </w:rPr>
              <w:t>C-03</w:t>
            </w:r>
          </w:p>
        </w:tc>
        <w:tc>
          <w:tcPr>
            <w:tcW w:type="dxa" w:w="1440"/>
            <w:vAlign w:val="center"/>
            <w:tcMar>
              <w:top w:w="120" w:type="dxa"/>
              <w:start w:w="120" w:type="dxa"/>
              <w:bottom w:w="120" w:type="dxa"/>
              <w:end w:w="120" w:type="dxa"/>
            </w:tcMar>
          </w:tcPr>
          <w:p>
            <w:pPr>
              <w:spacing w:after="40"/>
            </w:pPr>
            <w:r>
              <w:rPr>
                <w:sz w:val="17"/>
              </w:rPr>
              <w:t>07 27 00</w:t>
            </w:r>
          </w:p>
        </w:tc>
        <w:tc>
          <w:tcPr>
            <w:tcW w:type="dxa" w:w="3816"/>
            <w:vAlign w:val="center"/>
            <w:tcMar>
              <w:top w:w="120" w:type="dxa"/>
              <w:start w:w="120" w:type="dxa"/>
              <w:bottom w:w="120" w:type="dxa"/>
              <w:end w:w="120" w:type="dxa"/>
            </w:tcMar>
          </w:tcPr>
          <w:p>
            <w:pPr>
              <w:spacing w:after="40"/>
            </w:pPr>
            <w:r>
              <w:rPr>
                <w:sz w:val="17"/>
              </w:rPr>
              <w:t>Show transition membrane overlap at roof-to-wall interface and include adhesion-check evidence.</w:t>
            </w:r>
          </w:p>
        </w:tc>
        <w:tc>
          <w:tcPr>
            <w:tcW w:type="dxa" w:w="1656"/>
            <w:vAlign w:val="center"/>
            <w:tcMar>
              <w:top w:w="120" w:type="dxa"/>
              <w:start w:w="120" w:type="dxa"/>
              <w:bottom w:w="120" w:type="dxa"/>
              <w:end w:w="120" w:type="dxa"/>
            </w:tcMar>
          </w:tcPr>
          <w:p>
            <w:pPr>
              <w:spacing w:after="40"/>
            </w:pPr>
            <w:r>
              <w:rPr>
                <w:sz w:val="17"/>
              </w:rPr>
              <w:t>Envelope</w:t>
            </w:r>
          </w:p>
        </w:tc>
        <w:tc>
          <w:tcPr>
            <w:tcW w:type="dxa" w:w="1656"/>
            <w:vAlign w:val="center"/>
            <w:tcMar>
              <w:top w:w="120" w:type="dxa"/>
              <w:start w:w="120" w:type="dxa"/>
              <w:bottom w:w="120" w:type="dxa"/>
              <w:end w:w="120" w:type="dxa"/>
            </w:tcMar>
          </w:tcPr>
          <w:p>
            <w:pPr>
              <w:spacing w:after="40"/>
            </w:pPr>
            <w:r>
              <w:rPr>
                <w:sz w:val="17"/>
              </w:rPr>
              <w:t>Open</w:t>
            </w:r>
          </w:p>
        </w:tc>
      </w:tr>
      <w:tr>
        <w:tc>
          <w:tcPr>
            <w:tcW w:type="dxa" w:w="792"/>
            <w:vAlign w:val="center"/>
            <w:tcMar>
              <w:top w:w="120" w:type="dxa"/>
              <w:start w:w="120" w:type="dxa"/>
              <w:bottom w:w="120" w:type="dxa"/>
              <w:end w:w="120" w:type="dxa"/>
            </w:tcMar>
          </w:tcPr>
          <w:p>
            <w:pPr>
              <w:spacing w:after="40"/>
            </w:pPr>
            <w:r>
              <w:rPr>
                <w:sz w:val="17"/>
              </w:rPr>
              <w:t>C-04</w:t>
            </w:r>
          </w:p>
        </w:tc>
        <w:tc>
          <w:tcPr>
            <w:tcW w:type="dxa" w:w="1440"/>
            <w:vAlign w:val="center"/>
            <w:tcMar>
              <w:top w:w="120" w:type="dxa"/>
              <w:start w:w="120" w:type="dxa"/>
              <w:bottom w:w="120" w:type="dxa"/>
              <w:end w:w="120" w:type="dxa"/>
            </w:tcMar>
          </w:tcPr>
          <w:p>
            <w:pPr>
              <w:spacing w:after="40"/>
            </w:pPr>
            <w:r>
              <w:rPr>
                <w:sz w:val="17"/>
              </w:rPr>
              <w:t>07 60 00</w:t>
            </w:r>
          </w:p>
        </w:tc>
        <w:tc>
          <w:tcPr>
            <w:tcW w:type="dxa" w:w="3816"/>
            <w:vAlign w:val="center"/>
            <w:tcMar>
              <w:top w:w="120" w:type="dxa"/>
              <w:start w:w="120" w:type="dxa"/>
              <w:bottom w:w="120" w:type="dxa"/>
              <w:end w:w="120" w:type="dxa"/>
            </w:tcMar>
          </w:tcPr>
          <w:p>
            <w:pPr>
              <w:spacing w:after="40"/>
            </w:pPr>
            <w:r>
              <w:rPr>
                <w:sz w:val="17"/>
              </w:rPr>
              <w:t>Coordinate flashing sequence with drainable cladding and avoid horizontal water-collection fasteners.</w:t>
            </w:r>
          </w:p>
        </w:tc>
        <w:tc>
          <w:tcPr>
            <w:tcW w:type="dxa" w:w="1656"/>
            <w:vAlign w:val="center"/>
            <w:tcMar>
              <w:top w:w="120" w:type="dxa"/>
              <w:start w:w="120" w:type="dxa"/>
              <w:bottom w:w="120" w:type="dxa"/>
              <w:end w:w="120" w:type="dxa"/>
            </w:tcMar>
          </w:tcPr>
          <w:p>
            <w:pPr>
              <w:spacing w:after="40"/>
            </w:pPr>
            <w:r>
              <w:rPr>
                <w:sz w:val="17"/>
              </w:rPr>
              <w:t>Envelope</w:t>
            </w:r>
          </w:p>
        </w:tc>
        <w:tc>
          <w:tcPr>
            <w:tcW w:type="dxa" w:w="1656"/>
            <w:vAlign w:val="center"/>
            <w:tcMar>
              <w:top w:w="120" w:type="dxa"/>
              <w:start w:w="120" w:type="dxa"/>
              <w:bottom w:w="120" w:type="dxa"/>
              <w:end w:w="120" w:type="dxa"/>
            </w:tcMar>
          </w:tcPr>
          <w:p>
            <w:pPr>
              <w:spacing w:after="40"/>
            </w:pPr>
            <w:r>
              <w:rPr>
                <w:sz w:val="17"/>
              </w:rPr>
              <w:t>Resolved</w:t>
            </w:r>
          </w:p>
        </w:tc>
      </w:tr>
      <w:tr>
        <w:tc>
          <w:tcPr>
            <w:tcW w:type="dxa" w:w="792"/>
            <w:vAlign w:val="center"/>
            <w:tcMar>
              <w:top w:w="120" w:type="dxa"/>
              <w:start w:w="120" w:type="dxa"/>
              <w:bottom w:w="120" w:type="dxa"/>
              <w:end w:w="120" w:type="dxa"/>
            </w:tcMar>
          </w:tcPr>
          <w:p>
            <w:pPr>
              <w:spacing w:after="40"/>
            </w:pPr>
            <w:r>
              <w:rPr>
                <w:sz w:val="17"/>
              </w:rPr>
              <w:t>C-05</w:t>
            </w:r>
          </w:p>
        </w:tc>
        <w:tc>
          <w:tcPr>
            <w:tcW w:type="dxa" w:w="1440"/>
            <w:vAlign w:val="center"/>
            <w:tcMar>
              <w:top w:w="120" w:type="dxa"/>
              <w:start w:w="120" w:type="dxa"/>
              <w:bottom w:w="120" w:type="dxa"/>
              <w:end w:w="120" w:type="dxa"/>
            </w:tcMar>
          </w:tcPr>
          <w:p>
            <w:pPr>
              <w:spacing w:after="40"/>
            </w:pPr>
            <w:r>
              <w:rPr>
                <w:sz w:val="17"/>
              </w:rPr>
              <w:t>22-26</w:t>
            </w:r>
          </w:p>
        </w:tc>
        <w:tc>
          <w:tcPr>
            <w:tcW w:type="dxa" w:w="3816"/>
            <w:vAlign w:val="center"/>
            <w:tcMar>
              <w:top w:w="120" w:type="dxa"/>
              <w:start w:w="120" w:type="dxa"/>
              <w:bottom w:w="120" w:type="dxa"/>
              <w:end w:w="120" w:type="dxa"/>
            </w:tcMar>
          </w:tcPr>
          <w:p>
            <w:pPr>
              <w:spacing w:after="40"/>
            </w:pPr>
            <w:r>
              <w:rPr>
                <w:sz w:val="17"/>
              </w:rPr>
              <w:t>Add final asset-name convention to controls point list and panel directory coordination note.</w:t>
            </w:r>
          </w:p>
        </w:tc>
        <w:tc>
          <w:tcPr>
            <w:tcW w:type="dxa" w:w="1656"/>
            <w:vAlign w:val="center"/>
            <w:tcMar>
              <w:top w:w="120" w:type="dxa"/>
              <w:start w:w="120" w:type="dxa"/>
              <w:bottom w:w="120" w:type="dxa"/>
              <w:end w:w="120" w:type="dxa"/>
            </w:tcMar>
          </w:tcPr>
          <w:p>
            <w:pPr>
              <w:spacing w:after="40"/>
            </w:pPr>
            <w:r>
              <w:rPr>
                <w:sz w:val="17"/>
              </w:rPr>
              <w:t>MEP</w:t>
            </w:r>
          </w:p>
        </w:tc>
        <w:tc>
          <w:tcPr>
            <w:tcW w:type="dxa" w:w="1656"/>
            <w:vAlign w:val="center"/>
            <w:tcMar>
              <w:top w:w="120" w:type="dxa"/>
              <w:start w:w="120" w:type="dxa"/>
              <w:bottom w:w="120" w:type="dxa"/>
              <w:end w:w="120" w:type="dxa"/>
            </w:tcMar>
          </w:tcPr>
          <w:p>
            <w:pPr>
              <w:spacing w:after="40"/>
            </w:pPr>
            <w:r>
              <w:rPr>
                <w:sz w:val="17"/>
              </w:rPr>
              <w:t>Open</w:t>
            </w:r>
          </w:p>
        </w:tc>
      </w:tr>
      <w:tr>
        <w:tc>
          <w:tcPr>
            <w:tcW w:type="dxa" w:w="792"/>
            <w:vAlign w:val="center"/>
            <w:tcMar>
              <w:top w:w="120" w:type="dxa"/>
              <w:start w:w="120" w:type="dxa"/>
              <w:bottom w:w="120" w:type="dxa"/>
              <w:end w:w="120" w:type="dxa"/>
            </w:tcMar>
          </w:tcPr>
          <w:p>
            <w:pPr>
              <w:spacing w:after="40"/>
            </w:pPr>
            <w:r>
              <w:rPr>
                <w:sz w:val="17"/>
              </w:rPr>
              <w:t>C-06</w:t>
            </w:r>
          </w:p>
        </w:tc>
        <w:tc>
          <w:tcPr>
            <w:tcW w:type="dxa" w:w="1440"/>
            <w:vAlign w:val="center"/>
            <w:tcMar>
              <w:top w:w="120" w:type="dxa"/>
              <w:start w:w="120" w:type="dxa"/>
              <w:bottom w:w="120" w:type="dxa"/>
              <w:end w:w="120" w:type="dxa"/>
            </w:tcMar>
          </w:tcPr>
          <w:p>
            <w:pPr>
              <w:spacing w:after="40"/>
            </w:pPr>
            <w:r>
              <w:rPr>
                <w:sz w:val="17"/>
              </w:rPr>
              <w:t>General</w:t>
            </w:r>
          </w:p>
        </w:tc>
        <w:tc>
          <w:tcPr>
            <w:tcW w:type="dxa" w:w="3816"/>
            <w:vAlign w:val="center"/>
            <w:tcMar>
              <w:top w:w="120" w:type="dxa"/>
              <w:start w:w="120" w:type="dxa"/>
              <w:bottom w:w="120" w:type="dxa"/>
              <w:end w:w="120" w:type="dxa"/>
            </w:tcMar>
          </w:tcPr>
          <w:p>
            <w:pPr>
              <w:spacing w:after="40"/>
            </w:pPr>
            <w:r>
              <w:rPr>
                <w:sz w:val="17"/>
              </w:rPr>
              <w:t>Retain explicit statement that CO-014 and JPY 18,600,000 are Project Alpha context only.</w:t>
            </w:r>
          </w:p>
        </w:tc>
        <w:tc>
          <w:tcPr>
            <w:tcW w:type="dxa" w:w="1656"/>
            <w:vAlign w:val="center"/>
            <w:tcMar>
              <w:top w:w="120" w:type="dxa"/>
              <w:start w:w="120" w:type="dxa"/>
              <w:bottom w:w="120" w:type="dxa"/>
              <w:end w:w="120" w:type="dxa"/>
            </w:tcMar>
          </w:tcPr>
          <w:p>
            <w:pPr>
              <w:spacing w:after="40"/>
            </w:pPr>
            <w:r>
              <w:rPr>
                <w:sz w:val="17"/>
              </w:rPr>
              <w:t>PM</w:t>
            </w:r>
          </w:p>
        </w:tc>
        <w:tc>
          <w:tcPr>
            <w:tcW w:type="dxa" w:w="1656"/>
            <w:vAlign w:val="center"/>
            <w:tcMar>
              <w:top w:w="120" w:type="dxa"/>
              <w:start w:w="120" w:type="dxa"/>
              <w:bottom w:w="120" w:type="dxa"/>
              <w:end w:w="120" w:type="dxa"/>
            </w:tcMar>
          </w:tcPr>
          <w:p>
            <w:pPr>
              <w:spacing w:after="40"/>
            </w:pPr>
            <w:r>
              <w:rPr>
                <w:sz w:val="17"/>
              </w:rPr>
              <w:t>Resolved</w:t>
            </w:r>
          </w:p>
        </w:tc>
      </w:tr>
    </w:tbl>
    <w:p>
      <w:pPr>
        <w:pStyle w:val="Heading1"/>
      </w:pPr>
      <w:r>
        <w:t>Closeout Check</w:t>
      </w:r>
    </w:p>
    <w:p>
      <w:pPr>
        <w:pStyle w:val="ListBullet"/>
      </w:pPr>
      <w:r>
        <w:t>Issue a revised coordination log with each Open comment, disposition, and evidence reference.</w:t>
      </w:r>
    </w:p>
    <w:p>
      <w:pPr>
        <w:pStyle w:val="ListBullet"/>
      </w:pPr>
      <w:r>
        <w:t>Verify the Project Beta package has no Project Alpha budget or change-order amount carried into its procurement narrative.</w:t>
      </w:r>
    </w:p>
    <w:p>
      <w:pPr>
        <w:pStyle w:val="ListBullet"/>
      </w:pPr>
      <w:r>
        <w:t>Archive the final review register with the issued specifications and model issue PB-26.07.29-C.</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internal review record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A72"/>
        <w:sz w:val="16"/>
      </w:rPr>
      <w:t>HARBOR BUILD | PROJECT BETA | SPECIFICATION COMMENT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