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b/>
          <ns0:color ns0:val="0B2545"/>
          <ns0:sz ns0:val="42"/>
        </ns0:rPr>
        <ns0:t>INCIDENT EVIDENCE REVIEW</ns0:t>
      </ns0:r>
    </ns0:p>
    <ns0:p>
      <ns0:pPr>
        <ns0:spacing ns0:after="280"/>
      </ns0:pPr>
      <ns0:r>
        <ns0:rPr>
          <ns0:color ns0:val="373737"/>
          <ns0:sz ns0:val="26"/>
        </ns0:rPr>
        <ns0:t>2026 07 13 Incident Evidence Closure Summary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p03-full-006371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Artifact review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IR-001119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Foundation record date/period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Subject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Closure summary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E8EEF5"/>
          </ns0:tcPr>
          <ns0:p>
            <ns0:r>
              <ns0:rPr>
                <ns0:b/>
              </ns0:rPr>
              <ns0:t>Status</ns0:t>
            </ns0:r>
          </ns0:p>
        </ns0:tc>
        <ns0:tc>
          <ns0:tcPr>
            <ns0:tcW ns0:type="dxa" ns0:w="4680"/>
            <ns0:vAlign ns0:val="center"/>
          </ns0:tcPr>
          <ns0:p>
            <ns0:r>
              <ns0:t>Synthetic evidence review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This synthetic closure summary documents the bounded evidence chain for Cobalt Harbor Systems. It supports governance review of CASE-260713-184 and does not represent an operational incident, production-system access, or a Kio claim.</ns0:t>
      </ns0:r>
    </ns0:p>
    <ns0:p>
      <ns0:pPr>
        <ns0:pStyle ns0:val="Heading2"/>
      </ns0:pPr>
      <ns0:r>
        <ns0:t>Evidence basis</ns0:t>
      </ns0:r>
    </ns0:p>
    <ns0:p>
      <ns0:r>
        <ns0:t>Foundation dependency p03-full-001119 / p03-src-001119 provides record IR-001119. It reports 48 reviewed privileged-role records, 47 timely attestations, and 48 final completions. Its disposition is "synthetic evidence retained for 18 months".</ns0:t>
      </ns0:r>
    </ns0:p>
    <ns0:p>
      <ns0:pPr>
        <ns0:pStyle ns0:val="Heading2"/>
      </ns0:pPr>
      <ns0:r>
        <ns0:t>Review observations</ns0:t>
      </ns0:r>
    </ns0:p>
    <ns0:p>
      <ns0:pPr>
        <ns0:pStyle ns0:val="ListBullet"/>
      </ns0:pPr>
      <ns0:r>
        <ns0:t>The source marks 184 as the evidence set, RISK-031 as the governance risk, and Medium as the residual rating.</ns0:t>
      </ns0:r>
    </ns0:p>
    <ns0:p>
      <ns0:pPr>
        <ns0:pStyle ns0:val="ListBullet"/>
      </ns0:pPr>
      <ns0:r>
        <ns0:t>tests continuity between the stated control and the listed governance risk before the disposition is recorded; this artifact applies review sequence 67.</ns0:t>
      </ns0:r>
    </ns0:p>
    <ns0:p>
      <ns0:pPr>
        <ns0:pStyle ns0:val="ListBullet"/>
      </ns0:pPr>
      <ns0:r>
        <ns0:t>This review uses the preserve-disposition rationale between the handoff; it is a record-specific reading path for this artifact.</ns0:t>
      </ns0:r>
    </ns0:p>
    <ns0:p>
      <ns0:pPr>
        <ns0:pStyle ns0:val="Heading2"/>
        <ns0:pageBreakBefore/>
      </ns0:pPr>
      <ns0:r>
        <ns0:t>Reviewer disposition</ns0:t>
      </ns0:r>
    </ns0:p>
    <ns0:p>
      <ns0:r>
        <ns0:t>The review records evidence-chain continuity for AC-27 using source spine reference: org.cobalt-harbor = Cobalt Harbor Systems, a fictional managed logistics and harbor-operations platform; case.case-260713-184 = CASE-260713-184, the synthetic evidence intake case; it opens and closes on 2026-07-13; period.2026-q3 = 2026 Q3 governance planning period from 2026-07-01 through 2026-09-30. Evidence set 184 contains 24 synthetic items: 12 attestations, 6 approvals, 4 checksum manifests, and 2 exception records. It makes no Kio indexing, history, chunk, search, or performance claim.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13 Incident Evidence Closure Summary</dc:title>
  <dc:subject>Synthetic AC-27 evidence review</dc:subject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