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2026-07-20 Incident Evidence Intake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p03-full-005272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IR-000337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intake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intake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p03-full-000337 / p03-src-000337 provides record IR-000337.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traces the source record identifier through the case, control, evidence-set, and residual-risk fields; this artifact applies review sequence 35.</ns0:t>
      </ns0:r>
    </ns0:p>
    <ns0:p>
      <ns0:pPr>
        <ns0:pStyle ns0:val="ListBullet"/>
      </ns0:pPr>
      <ns0:r>
        <ns0:t>This review uses the review-retention rationale between the approval;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evidence.ev-184-07 = EV-184-07, the Sentinel Export minimization statement reporting only synthetic event categories and counts; date.2026-07-20 = 2026-07-20, seven-day follow-up for closure evidence and residual-risk status.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2026-07-20 Incident Evidence Intake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