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13 Assessment Assurance Scope S007109</w:t>
      </w:r>
    </w:p>
    <w:p>
      <w:r>
        <w:t>Artifact: p03-full-007109 | Assigned review period: 2026-07-13 | Direct foundation: p03-full-000806</w:t>
      </w:r>
    </w:p>
    <w:p>
      <w:pPr>
        <w:pStyle w:val="Heading1"/>
      </w:pPr>
      <w:r>
        <w:t>Purpose and decision question</w:t>
      </w:r>
    </w:p>
    <w:p>
      <w:r>
        <w:t>This bounded, synthetic working paper evaluates early-period gap referral for 2026 07 13 Assessment Assurance Scope S007109. The review method is to select the review-gap evidence and test the referral path for an earlier assigned period without treating later context as prior knowledge.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2026-07-13. Its direct source is p03-full-000806, a review-gap evidence-metrics record dated 2026-07-13, with case CASE-260713-184 and evidence reference EV-184-15.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record supports a referral question with an explicit chronology limit. The foundation record supports a bounded documentation test through EV-184-15 and the stated review-gap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early-period gap referral conclusion names an independent synthetic reviewer and an attributable decision.</w:t>
      </w:r>
    </w:p>
    <w:p>
      <w:pPr>
        <w:pStyle w:val="ListBullet"/>
      </w:pPr>
      <w:r>
        <w:t>Keep the evidence reference EV-184-15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the control owner receives a time-bounded referral note for the next action review.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Assurance Scope S007109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