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AC-27 Assessment Review Working Paper</ns0:t>
      </ns0:r>
    </ns0:p>
    <ns0:p>
      <ns0:r>
        <ns0:rPr>
          <ns0:b/>
        </ns0:rPr>
        <ns0:t>Q3 2026 Assessment Assurance Scope S007209</ns0:t>
      </ns0:r>
    </ns0:p>
    <ns0:p>
      <ns0:r>
        <ns0:t>Artifact: p03-full-007209 | Assigned review period: 2026 Q3 review period | Direct foundation: p03-full-000955</ns0:t>
      </ns0:r>
    </ns0:p>
    <ns0:p>
      <ns0:pPr>
        <ns0:pStyle ns0:val="Heading1"/>
      </ns0:pPr>
      <ns0:r>
        <ns0:t>Purpose and decision question</ns0:t>
      </ns0:r>
    </ns0:p>
    <ns0:p>
      <ns0:r>
        <ns0:t>This bounded, synthetic working paper evaluates quarterly scope-to-action test for Q3 2026 Assessment Assurance Scope S007209. The review method is to select the control-validation evidence and test how a quarterly scope conclusion becomes one bounded action rather than a generic governance statement. It supports Cobalt Harbor Systems Aegis Control AC-27 evidence review and RISK-031 treatment without accessing a system, person, account, or network.</ns0:t>
      </ns0:r>
    </ns0:p>
    <ns0:p>
      <ns0:pPr>
        <ns0:pStyle ns0:val="Heading1"/>
      </ns0:pPr>
      <ns0:r>
        <ns0:t>Source provenance and distinct dates</ns0:t>
      </ns0:r>
    </ns0:p>
    <ns0:p>
      <ns0:r>
        <ns0:t>This document is assigned to the 2026 Q3 review period. Its direct source is p03-full-000955, a control-validation evidence-metrics record dated 2026-07-14, with case CASE-260713-184 and evidence reference EV-184-20. The source date is retained as source provenance and is not substituted for this document's assigned period.</ns0:t>
      </ns0:r>
    </ns0:p>
    <ns0:p>
      <ns0:pPr>
        <ns0:pStyle ns0:val="Heading1"/>
      </ns0:pPr>
      <ns0:r>
        <ns0:t>Foundation facts used in this review</ns0:t>
      </ns0:r>
    </ns0:p>
    <ns0:tbl>
      <ns0:tblPr>
        <ns0:tblStyle ns0:val="LightShading-Accent1"/>
        <ns0:tblW ns0:type="auto" ns0:w="0"/>
        <ns0:tblLook ns0:firstColumn="1" ns0:firstRow="1" ns0:lastColumn="0" ns0:lastRow="0" ns0:noHBand="0" ns0:noVBand="1" ns0:val="04A0"/>
      </ns0:tblPr>
      <ns0:tblGrid>
        <ns0:gridCol ns0:w="3389"/>
        <ns0:gridCol ns0:w="3389"/>
        <ns0:gridCol ns0:w="3389"/>
      </ns0:tblGrid>
      <ns0:tr>
        <ns0:tc>
          <ns0:tcPr>
            <ns0:tcW ns0:type="dxa" ns0:w="3389"/>
          </ns0:tcPr>
          <ns0:p>
            <ns0:pPr>
              <ns0:spacing ns0:after="20"/>
            </ns0:pPr>
            <ns0:r/>
            <ns0:r>
              <ns0:rPr>
                <ns0:b/>
                <ns0:sz ns0:val="16"/>
              </ns0:rPr>
              <ns0:t>Measure</ns0:t>
            </ns0:r>
          </ns0:p>
        </ns0:tc>
        <ns0:tc>
          <ns0:tcPr>
            <ns0:tcW ns0:type="dxa" ns0:w="3389"/>
          </ns0:tcPr>
          <ns0:p>
            <ns0:pPr>
              <ns0:spacing ns0:after="20"/>
            </ns0:pPr>
            <ns0:r/>
            <ns0:r>
              <ns0:rPr>
                <ns0:b/>
                <ns0:sz ns0:val="16"/>
              </ns0:rPr>
              <ns0:t>Recorded value</ns0:t>
            </ns0:r>
          </ns0:p>
        </ns0:tc>
        <ns0:tc>
          <ns0:tcPr>
            <ns0:tcW ns0:type="dxa" ns0:w="3389"/>
          </ns0:tcPr>
          <ns0:p>
            <ns0:pPr>
              <ns0:spacing ns0:after="20"/>
            </ns0:pPr>
            <ns0:r/>
            <ns0:r>
              <ns0:rPr>
                <ns0:b/>
                <ns0:sz ns0:val="16"/>
              </ns0:rPr>
              <ns0:t>Unit</ns0:t>
            </ns0:r>
          </ns0:p>
        </ns0:tc>
      </ns0:tr>
      <ns0:tr>
        <ns0:tc>
          <ns0:tcPr>
            <ns0:tcW ns0:type="dxa" ns0:w="3389"/>
          </ns0:tcPr>
          <ns0:p>
            <ns0:pPr>
              <ns0:spacing ns0:after="20"/>
            </ns0:pPr>
            <ns0:r/>
            <ns0:r>
              <ns0:rPr>
                <ns0:b ns0:val="0"/>
                <ns0:sz ns0:val="16"/>
              </ns0:rPr>
              <ns0:t>Privileged Roles Reviewed</ns0:t>
            </ns0:r>
          </ns0:p>
        </ns0:tc>
        <ns0:tc>
          <ns0:tcPr>
            <ns0:tcW ns0:type="dxa" ns0:w="3389"/>
          </ns0:tcPr>
          <ns0:p>
            <ns0:pPr>
              <ns0:spacing ns0:after="20"/>
            </ns0:pPr>
            <ns0:r/>
            <ns0:r>
              <ns0:rPr>
                <ns0:b ns0:val="0"/>
                <ns0:sz ns0:val="16"/>
              </ns0:rPr>
              <ns0:t>48</ns0:t>
            </ns0:r>
          </ns0:p>
        </ns0:tc>
        <ns0:tc>
          <ns0:tcPr>
            <ns0:tcW ns0:type="dxa" ns0:w="3389"/>
          </ns0:tcPr>
          <ns0:p>
            <ns0:pPr>
              <ns0:spacing ns0:after="20"/>
            </ns0:pPr>
            <ns0:r/>
            <ns0:r>
              <ns0:rPr>
                <ns0:b ns0:val="0"/>
                <ns0:sz ns0:val="16"/>
              </ns0:rPr>
              <ns0:t>records</ns0:t>
            </ns0:r>
          </ns0:p>
        </ns0:tc>
      </ns0:tr>
      <ns0:tr>
        <ns0:tc>
          <ns0:tcPr>
            <ns0:tcW ns0:type="dxa" ns0:w="3389"/>
          </ns0:tcPr>
          <ns0:p>
            <ns0:pPr>
              <ns0:spacing ns0:after="20"/>
            </ns0:pPr>
            <ns0:r/>
            <ns0:r>
              <ns0:rPr>
                <ns0:b ns0:val="0"/>
                <ns0:sz ns0:val="16"/>
              </ns0:rPr>
              <ns0:t>Timely Attestations</ns0:t>
            </ns0:r>
          </ns0:p>
        </ns0:tc>
        <ns0:tc>
          <ns0:tcPr>
            <ns0:tcW ns0:type="dxa" ns0:w="3389"/>
          </ns0:tcPr>
          <ns0:p>
            <ns0:pPr>
              <ns0:spacing ns0:after="20"/>
            </ns0:pPr>
            <ns0:r/>
            <ns0:r>
              <ns0:rPr>
                <ns0:b ns0:val="0"/>
                <ns0:sz ns0:val="16"/>
              </ns0:rPr>
              <ns0:t>47</ns0:t>
            </ns0:r>
          </ns0:p>
        </ns0:tc>
        <ns0:tc>
          <ns0:tcPr>
            <ns0:tcW ns0:type="dxa" ns0:w="3389"/>
          </ns0:tcPr>
          <ns0:p>
            <ns0:pPr>
              <ns0:spacing ns0:after="20"/>
            </ns0:pPr>
            <ns0:r/>
            <ns0:r>
              <ns0:rPr>
                <ns0:b ns0:val="0"/>
                <ns0:sz ns0:val="16"/>
              </ns0:rPr>
              <ns0:t>records</ns0:t>
            </ns0:r>
          </ns0:p>
        </ns0:tc>
      </ns0:tr>
      <ns0:tr>
        <ns0:tc>
          <ns0:tcPr>
            <ns0:tcW ns0:type="dxa" ns0:w="3389"/>
          </ns0:tcPr>
          <ns0:p>
            <ns0:pPr>
              <ns0:spacing ns0:after="20"/>
            </ns0:pPr>
            <ns0:r/>
            <ns0:r>
              <ns0:rPr>
                <ns0:b ns0:val="0"/>
                <ns0:sz ns0:val="16"/>
              </ns0:rPr>
              <ns0:t>Evidence Completeness</ns0:t>
            </ns0:r>
          </ns0:p>
        </ns0:tc>
        <ns0:tc>
          <ns0:tcPr>
            <ns0:tcW ns0:type="dxa" ns0:w="3389"/>
          </ns0:tcPr>
          <ns0:p>
            <ns0:pPr>
              <ns0:spacing ns0:after="20"/>
            </ns0:pPr>
            <ns0:r/>
            <ns0:r>
              <ns0:rPr>
                <ns0:b ns0:val="0"/>
                <ns0:sz ns0:val="16"/>
              </ns0:rPr>
              <ns0:t>24</ns0:t>
            </ns0:r>
          </ns0:p>
        </ns0:tc>
        <ns0:tc>
          <ns0:tcPr>
            <ns0:tcW ns0:type="dxa" ns0:w="3389"/>
          </ns0:tcPr>
          <ns0:p>
            <ns0:pPr>
              <ns0:spacing ns0:after="20"/>
            </ns0:pPr>
            <ns0:r/>
            <ns0:r>
              <ns0:rPr>
                <ns0:b ns0:val="0"/>
                <ns0:sz ns0:val="16"/>
              </ns0:rPr>
              <ns0:t>items</ns0:t>
            </ns0:r>
          </ns0:p>
        </ns0:tc>
      </ns0:tr>
    </ns0:tbl>
    <ns0:p>
      <ns0:pPr>
        <ns0:pStyle ns0:val="Heading1"/>
      </ns0:pPr>
      <ns0:r>
        <ns0:t>Assessment finding</ns0:t>
      </ns0:r>
    </ns0:p>
    <ns0:p>
      <ns0:r>
        <ns0:t>Finding: the source supports an action-design question but not completion confirmation. The foundation record supports a bounded documentation test through EV-184-20 and the stated control-validation context. The observed measures are evidence facts, not a claim of live control operation or technical testing.</ns0:t>
      </ns0:r>
    </ns0:p>
    <ns0:p>
      <ns0:pPr>
        <ns0:pStyle ns0:val="Heading1"/>
      </ns0:pPr>
      <ns0:r>
        <ns0:t>Defensive follow-up and disposition</ns0:t>
      </ns0:r>
    </ns0:p>
    <ns0:p>
      <ns0:pPr>
        <ns0:pStyle ns0:val="ListBullet"/>
      </ns0:pPr>
      <ns0:r>
        <ns0:t>Confirm that the quarterly scope-to-action test conclusion names an independent synthetic reviewer and an attributable decision.</ns0:t>
      </ns0:r>
    </ns0:p>
    <ns0:p>
      <ns0:pPr>
        <ns0:pStyle ns0:val="ListBullet"/>
      </ns0:pPr>
      <ns0:r>
        <ns0:t>Keep the evidence reference EV-184-20 linked to the AC-27 register and the RISK-031 treatment record.</ns0:t>
      </ns0:r>
    </ns0:p>
    <ns0:p>
      <ns0:pPr>
        <ns0:pStyle ns0:val="ListBullet"/>
      </ns0:pPr>
      <ns0:r>
        <ns0:t>Retain the bounded package under the synthetic 18-month evidence minimum; record EXC-260713-006 only where a compensating review is relevant.</ns0:t>
      </ns0:r>
    </ns0:p>
    <ns0:p>
      <ns0:r>
        <ns0:t>Disposition: the GRC program lead assigns a documented acceptance criterion for the Q3 action. This fictional corpus artifact contains defensive documentation only and establishes no Kio indexing, history, chunks, search quality, or performance claim.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835" ns0:right="1037" ns0:bottom="792" ns0:left="1037" ns0:header="360" ns0:footer="36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Defensive AC-27 assurance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COBALT HARBOR SYSTEMS | AEGIS ASSURANCE |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232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Q3 2026 Assessment Assurance Scope S007209</dc:title>
  <dc:subject>Synthetic defensive AC-27 review</dc:subject>
  <dc:creator>Cobalt Harbor Systems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