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jc ns0:val="left"/>
      </ns0:pPr>
      <ns0:r>
        <ns0:rPr>
          <ns0:b/>
          <ns0:color ns0:val="1F4D78"/>
          <ns0:sz ns0:val="16"/>
        </ns0:rPr>
        <ns0:t>COBALT HARBOR SYSTEMS - AEGIS ASSURANCE</ns0:t>
      </ns0:r>
    </ns0:p>
    <ns0:p>
      <ns0:pPr>
        <ns0:spacing ns0:after="20"/>
      </ns0:pPr>
      <ns0:r>
        <ns0:rPr>
          <ns0:b/>
          <ns0:color ns0:val="0B2545"/>
          <ns0:sz ns0:val="30"/>
        </ns0:rPr>
        <ns0:t>2026 07 15 Threat Model Access Review Document Docx</ns0:t>
      </ns0:r>
    </ns0:p>
    <ns0:p>
      <ns0:r>
        <ns0:rPr>
          <ns0:color ns0:val="5A5A5A"/>
          <ns0:sz ns0:val="16"/>
        </ns0:rPr>
        <ns0:t>Artifact p03-full-003692 - Synthetic AC-27 review document</ns0:t>
      </ns0:r>
    </ns0:p>
    <ns0:tbl>
      <ns0:tblPr>
        <ns0:tblStyle ns0:val="LightShading-Accent1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5285"/>
        <ns0:gridCol ns0:w="5285"/>
      </ns0:tblGrid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Assigned review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2026-07-15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Direct dependency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p03-full-000778</ns0:t>
            </ns0:r>
          </ns0:p>
        </ns0:tc>
      </ns0:tr>
      <ns0:tr>
        <ns0:tc>
          <ns0:tcPr>
            <ns0:tcW ns0:type="dxa" ns0:w="5285"/>
            <ns0:vAlign ns0:val="center"/>
          </ns0:tcPr>
          <ns0:p>
            <ns0:r>
              <ns0:rPr>
                <ns0:b/>
              </ns0:rPr>
              <ns0:t>Dependency source period</ns0:t>
            </ns0:r>
          </ns0:p>
        </ns0:tc>
        <ns0:tc>
          <ns0:tcPr>
            <ns0:tcW ns0:type="dxa" ns0:w="5285"/>
            <ns0:vAlign ns0:val="center"/>
          </ns0:tcPr>
          <ns0:p>
            <ns0:r>
              <ns0:t>2026-07-14</ns0:t>
            </ns0:r>
          </ns0:p>
        </ns0:tc>
      </ns0:tr>
    </ns0:tbl>
    <ns0:p>
      <ns0:r>
        <ns0:rPr>
          <ns0:b/>
          <ns0:color ns0:val="1F4D78"/>
        </ns0:rPr>
        <ns0:t>Source facts</ns0:t>
      </ns0:r>
    </ns0:p>
    <ns0:p>
      <ns0:pPr>
        <ns0:spacing ns0:after="20" ns0:line="240" ns0:lineRule="auto"/>
      </ns0:pPr>
      <ns0:r>
        <ns0:t>Source review date: 2026-07-14; source period: 2026-07-14; topic: evidence-flow; control: AC-27; case: CASE-260713-184; population: 48; timely attestations: 47; final attestations: 48; residual risk: Medium; classification: synthetic-defensive.'</ns0:t>
      </ns0:r>
    </ns0:p>
    <ns0:p>
      <ns0:r>
        <ns0:rPr>
          <ns0:b/>
          <ns0:color ns0:val="1F4D78"/>
        </ns0:rPr>
        <ns0:t>Evaluation question</ns0:t>
      </ns0:r>
    </ns0:p>
    <ns0:p>
      <ns0:pPr>
        <ns0:spacing ns0:after="20" ns0:line="240" ns0:lineRule="auto"/>
      </ns0:pPr>
      <ns0:r>
        <ns0:t>Can the source-date segregation lens demonstrate the source date remains auditable from the directly linked evidence-flow record while keeping source period 2026-07-14 distinct from assigned period 2026-07-15?</ns0:t>
      </ns0:r>
    </ns0:p>
    <ns0:p>
      <ns0:r>
        <ns0:rPr>
          <ns0:b/>
          <ns0:color ns0:val="1F4D78"/>
        </ns0:rPr>
        <ns0:t>Selection and test method</ns0:t>
      </ns0:r>
    </ns0:p>
    <ns0:p>
      <ns0:pPr>
        <ns0:spacing ns0:after="20" ns0:line="240" ns0:lineRule="auto"/>
      </ns0:pPr>
      <ns0:r>
        <ns0:t>This workpaper selects review-date and planning-period fields and tests that the report never conflates the two temporal meanings. It then applies the acceptance condition that the source date remains auditable; the test rejects any conclusion that conflicts with the source control, case, population, or classification fields.</ns0:t>
      </ns0:r>
    </ns0:p>
    <ns0:p>
      <ns0:r>
        <ns0:rPr>
          <ns0:b/>
          <ns0:color ns0:val="1F4D78"/>
        </ns0:rPr>
        <ns0:t>Scenario-specific workpaper focus</ns0:t>
      </ns0:r>
    </ns0:p>
    <ns0:p>
      <ns0:pPr>
        <ns0:spacing ns0:after="20" ns0:line="240" ns0:lineRule="auto"/>
      </ns0:pPr>
      <ns0:r>
        <ns0:t>Apply the source-date-segregation-the-source-date-remains-auditable-triangulation, source-date-segregation-the-source-date-remains-auditable-counterfactual, source-date-segregation-the-source-date-remains-auditable-threshold, and source-date-segregation-the-source-date-remains-auditable-corroboration checks. These checks ask different questions: source-field agreement, alternate-outcome sensitivity, acceptance threshold, and corroborating evidence-chain treatment for this exact review scenario.</ns0:t>
      </ns0:r>
    </ns0:p>
    <ns0:p>
      <ns0:r>
        <ns0:rPr>
          <ns0:b/>
          <ns0:color ns0:val="1F4D78"/>
        </ns0:rPr>
        <ns0:t>Observed evidence and interpretation</ns0:t>
      </ns0:r>
    </ns0:p>
    <ns0:p>
      <ns0:pPr>
        <ns0:spacing ns0:after="20" ns0:line="240" ns0:lineRule="auto"/>
      </ns0:pPr>
      <ns0:r>
        <ns0:t>Observation: the source review date is an evidentiary event, whereas the assigned period is a distinct reporting context. The source identifies p03-src-000778 for AC-27 and CASE-260713-184; its 47 timely of 48 and 48 final attestations are evidence-chain facts, not workforce or live-system assertions.</ns0:t>
      </ns0:r>
    </ns0:p>
    <ns0:p>
      <ns0:r>
        <ns0:rPr>
          <ns0:b/>
          <ns0:color ns0:val="1F4D78"/>
        </ns0:rPr>
        <ns0:t>Finding</ns0:t>
      </ns0:r>
    </ns0:p>
    <ns0:p>
      <ns0:pPr>
        <ns0:spacing ns0:after="20" ns0:line="240" ns0:lineRule="auto"/>
      </ns0:pPr>
      <ns0:r>
        <ns0:t>The source-date segregation finding is that the source date remains auditable is supportable only within its synthetic-defensive boundary. RISK-031 is residual Medium; this does not erase the distinct 47 timely-attestation observation.</ns0:t>
      </ns0:r>
    </ns0:p>
    <ns0:p>
      <ns0:r>
        <ns0:rPr>
          <ns0:b/>
          <ns0:color ns0:val="1F4D78"/>
        </ns0:rPr>
        <ns0:t>Disposition and follow-up</ns0:t>
      </ns0:r>
    </ns0:p>
    <ns0:p>
      <ns0:pPr>
        <ns0:spacing ns0:after="20" ns0:line="240" ns0:lineRule="auto"/>
      </ns0:pPr>
      <ns0:r>
        <ns0:t>For this source-date segregation workpaper, retain source p03-src-000778 with source date 2026-07-14 and assigned period 2026-07-15; send the source-date-segregation-the-source-date-remains-auditable-closure outcome to the next evidence-chain review, while routing any variance through the source-date-segregation-the-source-date-remains-auditable-exception check.</ns0:t>
      </ns0:r>
    </ns0:p>
    <ns0:p>
      <ns0:r>
        <ns0:rPr>
          <ns0:b/>
          <ns0:color ns0:val="1F4D78"/>
        </ns0:rPr>
        <ns0:t>Linked source narrative</ns0:t>
      </ns0:r>
    </ns0:p>
    <ns0:p>
      <ns0:pPr>
        <ns0:spacing ns0:after="20" ns0:line="240" ns0:lineRule="auto"/>
      </ns0:pPr>
      <ns0:r>
        <ns0:t>The linked risk registry frames RISK-031 as incomplete privileged-access review evidence, with residual Medium after bounded remediation. The linked date registry identifies 2026-07-14 as normalization, checksum confirmation, and action-owner acknowledgement.</ns0:t>
      </ns0:r>
    </ns0:p>
    <ns0:p>
      <ns0:r>
        <ns0:rPr>
          <ns0:b/>
          <ns0:color ns0:val="1F4D78"/>
        </ns0:rPr>
        <ns0:t>Safety boundary</ns0:t>
      </ns0:r>
    </ns0:p>
    <ns0:p>
      <ns0:pPr>
        <ns0:spacing ns0:after="20" ns0:line="240" ns0:lineRule="auto"/>
      </ns0:pPr>
      <ns0:r>
        <ns0:t>All material is synthetic defensive GRC evidence. It asserts no Kio indexing, history, chunks, search quality, or performance result.</ns0:t>
      </ns0:r>
    </ns0:p>
    <ns0:sectPr ns0:rsidR="00FC693F" ns0:rsidRPr="0006063C" ns0:rsidSect="00034616">
      <ns0:footerReference ns0:type="default" ns2:id="rId9"/>
      <ns0:pgSz ns0:w="12240" ns0:h="15840"/>
      <ns0:pgMar ns0:top="691" ns0:right="835" ns0:bottom="648" ns0:left="835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evidence only | No live systems or 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