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15 Threat Model Control Boundary Review Document Docx</ns0:t>
      </ns0:r>
    </ns0:p>
    <ns0:p>
      <ns0:r>
        <ns0:rPr>
          <ns0:color ns0:val="5A5A5A"/>
          <ns0:sz ns0:val="16"/>
        </ns0:rPr>
        <ns0:t>Artifact p03-full-004709 -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p03-full-000437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2026-07-15; source period: 2026-07-15; topic: control-boundary;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Causal evaluation question</ns0:t>
      </ns0:r>
    </ns0:p>
    <ns0:p>
      <ns0:pPr>
        <ns0:spacing ns0:after="20" ns0:line="240" ns0:lineRule="auto"/>
      </ns0:pPr>
      <ns0:r>
        <ns0:t>For the register-based exception decision, does the direct foundation record support this decision: decide whether a completion register supports a time-bounded exception disposition? The assessment keeps the source date distinct from assigned period 2026-07-15.</ns0:t>
      </ns0:r>
    </ns0:p>
    <ns0:p>
      <ns0:r>
        <ns0:rPr>
          <ns0:b/>
          <ns0:color ns0:val="1F4D78"/>
        </ns0:rPr>
        <ns0:t>Evidence selection, procedure, and failure mode</ns0:t>
      </ns0:r>
    </ns0:p>
    <ns0:p>
      <ns0:pPr>
        <ns0:spacing ns0:after="20" ns0:line="240" ns0:lineRule="auto"/>
      </ns0:pPr>
      <ns0:r>
        <ns0:t>Select the control, case, review date, population, timely, final, residual, and classification facts relevant to register-based exception decision. Inspect the register counts, timing gap, and exception route; reject a disposition if total completion is used as the only criterion.</ns0:t>
      </ns0:r>
    </ns0:p>
    <ns0:p>
      <ns0:r>
        <ns0:rPr>
          <ns0:b/>
          <ns0:color ns0:val="1F4D78"/>
        </ns0:rPr>
        <ns0:t>Decision rule</ns0:t>
      </ns0:r>
    </ns0:p>
    <ns0:p>
      <ns0:pPr>
        <ns0:spacing ns0:after="20" ns0:line="240" ns0:lineRule="auto"/>
      </ns0:pPr>
      <ns0:r>
        <ns0:t>Accept the register-based exception decision conclusion only when the source facts remain internally consistent and the conclusion stays inside the synthetic-defensive AC-27 evidence boundary; otherwise record a bounded variance.</ns0:t>
      </ns0:r>
    </ns0:p>
    <ns0:p>
      <ns0:r>
        <ns0:rPr>
          <ns0:b/>
          <ns0:color ns0:val="1F4D78"/>
        </ns0:rPr>
        <ns0:t>Observation and interpretation</ns0:t>
      </ns0:r>
    </ns0:p>
    <ns0:p>
      <ns0:pPr>
        <ns0:spacing ns0:after="20" ns0:line="240" ns0:lineRule="auto"/>
      </ns0:pPr>
      <ns0:r>
        <ns0:t>The register supports a completion observation while separately preserving the late-attestation condition. That distinction is necessary for a fair exception decision. The direct record remains p03-src-000437 for CASE-260713-184, with 47 timely and 48 final attestations in a 48 record population.</ns0:t>
      </ns0:r>
    </ns0:p>
    <ns0:p>
      <ns0:r>
        <ns0:rPr>
          <ns0:b/>
          <ns0:color ns0:val="1F4D78"/>
        </ns0:rPr>
        <ns0:t>Risk finding</ns0:t>
      </ns0:r>
    </ns0:p>
    <ns0:p>
      <ns0:pPr>
        <ns0:spacing ns0:after="20" ns0:line="240" ns0:lineRule="auto"/>
      </ns0:pPr>
      <ns0:r>
        <ns0:t>A time-bounded exception may be recorded, with residual Medium retained until the next control review. RISK-031 therefore remains residual Medium within the synthetic-defensive classification.</ns0:t>
      </ns0:r>
    </ns0:p>
    <ns0:p>
      <ns0:r>
        <ns0:rPr>
          <ns0:b/>
          <ns0:color ns0:val="1F4D78"/>
        </ns0:rPr>
        <ns0:t>Owner, timing, and disposition</ns0:t>
      </ns0:r>
    </ns0:p>
    <ns0:p>
      <ns0:pPr>
        <ns0:spacing ns0:after="20" ns0:line="240" ns0:lineRule="auto"/>
      </ns0:pPr>
      <ns0:r>
        <ns0:t>The exception owner records the decision window and assigns a follow-up check to the reviewer. The result is retained for assigned period 2026-07-15; any variance is handled through the AC-27 exception route rather than by altering the source record.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 The linked date registry identifies 2026-07-15 as remediation-plan and retention-disposition validation.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