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Control Boundary Review Document Docx</ns0:t>
      </ns0:r>
    </ns0:p>
    <ns0:p>
      <ns0:r>
        <ns0:rPr>
          <ns0:color ns0:val="5A5A5A"/>
          <ns0:sz ns0:val="16"/>
        </ns0:rPr>
        <ns0:t>Artifact p03-full-004969 -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p03-full-000079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residual-risk;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Causal evaluation question</ns0:t>
      </ns0:r>
    </ns0:p>
    <ns0:p>
      <ns0:pPr>
        <ns0:spacing ns0:after="20" ns0:line="240" ns0:lineRule="auto"/>
      </ns0:pPr>
      <ns0:r>
        <ns0:t>Does the direct foundation record support this specific decision: challenge quarterly boundary language against the retained residual-risk rationale? The assessment must preserve the source case, date/period distinction, and synthetic-defensive boundary.</ns0:t>
      </ns0:r>
    </ns0:p>
    <ns0:p>
      <ns0:r>
        <ns0:rPr>
          <ns0:b/>
          <ns0:color ns0:val="1F4D78"/>
        </ns0:rPr>
        <ns0:t>Evidence selection and counterexample</ns0:t>
      </ns0:r>
    </ns0:p>
    <ns0:p>
      <ns0:pPr>
        <ns0:spacing ns0:after="20" ns0:line="240" ns0:lineRule="auto"/>
      </ns0:pPr>
      <ns0:r>
        <ns0:t>Select only the control, case, population, timely, final, residual-risk, and classification fields relevant to challenge quarterly boundary language against the retained residual-risk rationale. Run a counterexample: reject the decision if final completion is used to erase the 47 timely-attestation observation or if source period is substituted for source review date.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checksum-continuity-the-compensating-review-is-traceable-triangulation, checksum-continuity-the-compensating-review-is-traceable-counterfactual, checksum-continuity-the-compensating-review-is-traceable-threshold, and checksum-continuity-the-compensating-review-is-traceable-corroboration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Observation and interpretation</ns0:t>
      </ns0:r>
    </ns0:p>
    <ns0:p>
      <ns0:pPr>
        <ns0:spacing ns0:after="20" ns0:line="240" ns0:lineRule="auto"/>
      </ns0:pPr>
      <ns0:r>
        <ns0:t>For challenge quarterly boundary language against the retained residual-risk rationale, the observed evidence remains 47 timely and 48 final within a 48 record population. This is a bounded synthetic control-review measure; it neither identifies a person nor establishes a live-system condition.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finding for challenge quarterly boundary language against the retained residual-risk rationale is limited to AC-27 governance evidence. RISK-031 remains residual Medium, and the synthetic-defensive classification prevents operational, incident, or access-environment conclusions.</ns0:t>
      </ns0:r>
    </ns0:p>
    <ns0:p>
      <ns0:r>
        <ns0:rPr>
          <ns0:b/>
          <ns0:color ns0:val="1F4D78"/>
        </ns0:rPr>
        <ns0:t>Decision, owner, and timing</ns0:t>
      </ns0:r>
    </ns0:p>
    <ns0:p>
      <ns0:pPr>
        <ns0:spacing ns0:after="20" ns0:line="240" ns0:lineRule="auto"/>
      </ns0:pPr>
      <ns0:r>
        <ns0:t>GRC retains this finding for the assigned 2026 Q3 review period; the control owner must review the next evidence-chain handoff using source p03-src-000079 and its source review date 2026-07-14. The owner records any variance as a bounded exception rather than rewriting the source.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