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jc ns0:val="left"/>
      </ns0:pPr>
      <ns0:r>
        <ns0:rPr>
          <ns0:b/>
          <ns0:color ns0:val="1F4D78"/>
          <ns0:sz ns0:val="16"/>
        </ns0:rPr>
        <ns0:t>COBALT HARBOR SYSTEMS - AEGIS ASSURANCE</ns0:t>
      </ns0:r>
    </ns0:p>
    <ns0:p>
      <ns0:pPr>
        <ns0:spacing ns0:after="20"/>
      </ns0:pPr>
      <ns0:r>
        <ns0:rPr>
          <ns0:b/>
          <ns0:color ns0:val="0B2545"/>
          <ns0:sz ns0:val="30"/>
        </ns0:rPr>
        <ns0:t>2026 Q3 Threat Model Control Boundary Review Document Docx</ns0:t>
      </ns0:r>
    </ns0:p>
    <ns0:p>
      <ns0:r>
        <ns0:rPr>
          <ns0:color ns0:val="5A5A5A"/>
          <ns0:sz ns0:val="16"/>
        </ns0:rPr>
        <ns0:t>Artifact p03-full-004409 - Synthetic AC-27 review document</ns0:t>
      </ns0:r>
    </ns0:p>
    <ns0:tbl>
      <ns0:tblPr>
        <ns0:tblStyle ns0:val="LightShading-Accent1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5285"/>
        <ns0:gridCol ns0:w="5285"/>
      </ns0:tblGrid>
      <ns0:tr>
        <ns0:tc>
          <ns0:tcPr>
            <ns0:tcW ns0:type="dxa" ns0:w="5285"/>
            <ns0:vAlign ns0:val="center"/>
          </ns0:tcPr>
          <ns0:p>
            <ns0:r>
              <ns0:rPr>
                <ns0:b/>
              </ns0:rPr>
              <ns0:t>Assigned review period</ns0:t>
            </ns0:r>
          </ns0:p>
        </ns0:tc>
        <ns0:tc>
          <ns0:tcPr>
            <ns0:tcW ns0:type="dxa" ns0:w="5285"/>
            <ns0:vAlign ns0:val="center"/>
          </ns0:tcPr>
          <ns0:p>
            <ns0:r>
              <ns0:t>2026 Q3 review period</ns0:t>
            </ns0:r>
          </ns0:p>
        </ns0:tc>
      </ns0:tr>
      <ns0:tr>
        <ns0:tc>
          <ns0:tcPr>
            <ns0:tcW ns0:type="dxa" ns0:w="5285"/>
            <ns0:vAlign ns0:val="center"/>
          </ns0:tcPr>
          <ns0:p>
            <ns0:r>
              <ns0:rPr>
                <ns0:b/>
              </ns0:rPr>
              <ns0:t>Direct dependency</ns0:t>
            </ns0:r>
          </ns0:p>
        </ns0:tc>
        <ns0:tc>
          <ns0:tcPr>
            <ns0:tcW ns0:type="dxa" ns0:w="5285"/>
            <ns0:vAlign ns0:val="center"/>
          </ns0:tcPr>
          <ns0:p>
            <ns0:r>
              <ns0:t>p03-full-000437</ns0:t>
            </ns0:r>
          </ns0:p>
        </ns0:tc>
      </ns0:tr>
      <ns0:tr>
        <ns0:tc>
          <ns0:tcPr>
            <ns0:tcW ns0:type="dxa" ns0:w="5285"/>
            <ns0:vAlign ns0:val="center"/>
          </ns0:tcPr>
          <ns0:p>
            <ns0:r>
              <ns0:rPr>
                <ns0:b/>
              </ns0:rPr>
              <ns0:t>Dependency source period</ns0:t>
            </ns0:r>
          </ns0:p>
        </ns0:tc>
        <ns0:tc>
          <ns0:tcPr>
            <ns0:tcW ns0:type="dxa" ns0:w="5285"/>
            <ns0:vAlign ns0:val="center"/>
          </ns0:tcPr>
          <ns0:p>
            <ns0:r>
              <ns0:t>2026-07-15</ns0:t>
            </ns0:r>
          </ns0:p>
        </ns0:tc>
      </ns0:tr>
    </ns0:tbl>
    <ns0:p>
      <ns0:r>
        <ns0:rPr>
          <ns0:b/>
          <ns0:color ns0:val="1F4D78"/>
        </ns0:rPr>
        <ns0:t>Source facts</ns0:t>
      </ns0:r>
    </ns0:p>
    <ns0:p>
      <ns0:pPr>
        <ns0:spacing ns0:after="20" ns0:line="240" ns0:lineRule="auto"/>
      </ns0:pPr>
      <ns0:r>
        <ns0:t>Source review date: 2026-07-15; source period: 2026-07-15; topic: control-boundary; control: AC-27; case: CASE-260713-184; population: 48; timely attestations: 47; final attestations: 48; residual risk: Medium; classification: synthetic-defensive.'</ns0:t>
      </ns0:r>
    </ns0:p>
    <ns0:p>
      <ns0:r>
        <ns0:rPr>
          <ns0:b/>
          <ns0:color ns0:val="1F4D78"/>
        </ns0:rPr>
        <ns0:t>Causal evaluation question</ns0:t>
      </ns0:r>
    </ns0:p>
    <ns0:p>
      <ns0:pPr>
        <ns0:spacing ns0:after="20" ns0:line="240" ns0:lineRule="auto"/>
      </ns0:pPr>
      <ns0:r>
        <ns0:t>For the governance-planning separation, does the direct foundation record support this decision: separate the Q3 governance planning objective from the dated control-owner validation event? The assessment keeps the source date distinct from the assigned 2026 Q3 review period.</ns0:t>
      </ns0:r>
    </ns0:p>
    <ns0:p>
      <ns0:r>
        <ns0:rPr>
          <ns0:b/>
          <ns0:color ns0:val="1F4D78"/>
        </ns0:rPr>
        <ns0:t>Evidence selection, procedure, and failure mode</ns0:t>
      </ns0:r>
    </ns0:p>
    <ns0:p>
      <ns0:pPr>
        <ns0:spacing ns0:after="20" ns0:line="240" ns0:lineRule="auto"/>
      </ns0:pPr>
      <ns0:r>
        <ns0:t>Select the control, case, review date, population, timely, final, residual, and classification facts relevant to governance-planning separation. Compare planning ownership with the dated validation evidence and reject a document that treats a planned action as a completed validation.</ns0:t>
      </ns0:r>
    </ns0:p>
    <ns0:p>
      <ns0:r>
        <ns0:rPr>
          <ns0:b/>
          <ns0:color ns0:val="1F4D78"/>
        </ns0:rPr>
        <ns0:t>Decision rule</ns0:t>
      </ns0:r>
    </ns0:p>
    <ns0:p>
      <ns0:pPr>
        <ns0:spacing ns0:after="20" ns0:line="240" ns0:lineRule="auto"/>
      </ns0:pPr>
      <ns0:r>
        <ns0:t>Accept the governance-planning separation conclusion only when the source facts remain internally consistent and the conclusion stays inside the synthetic-defensive AC-27 evidence boundary; otherwise record a bounded variance.</ns0:t>
      </ns0:r>
    </ns0:p>
    <ns0:p>
      <ns0:r>
        <ns0:rPr>
          <ns0:b/>
          <ns0:color ns0:val="1F4D78"/>
        </ns0:rPr>
        <ns0:t>Observation and interpretation</ns0:t>
      </ns0:r>
    </ns0:p>
    <ns0:p>
      <ns0:pPr>
        <ns0:spacing ns0:after="20" ns0:line="240" ns0:lineRule="auto"/>
      </ns0:pPr>
      <ns0:r>
        <ns0:t>The dated validation anchors the evidence chain; Q3 defines a forward governance horizon. The two terms serve different decisions. The direct record remains p03-src-000437 for CASE-260713-184, with 47 timely and 48 final attestations in a 48 record population.</ns0:t>
      </ns0:r>
    </ns0:p>
    <ns0:p>
      <ns0:r>
        <ns0:rPr>
          <ns0:b/>
          <ns0:color ns0:val="1F4D78"/>
        </ns0:rPr>
        <ns0:t>Risk finding</ns0:t>
      </ns0:r>
    </ns0:p>
    <ns0:p>
      <ns0:pPr>
        <ns0:spacing ns0:after="20" ns0:line="240" ns0:lineRule="auto"/>
      </ns0:pPr>
      <ns0:r>
        <ns0:t>The control boundary remains suitable for planning discussion but does not prove future execution. RISK-031 therefore remains residual Medium within the synthetic-defensive classification.</ns0:t>
      </ns0:r>
    </ns0:p>
    <ns0:p>
      <ns0:r>
        <ns0:rPr>
          <ns0:b/>
          <ns0:color ns0:val="1F4D78"/>
        </ns0:rPr>
        <ns0:t>Owner, timing, and disposition</ns0:t>
      </ns0:r>
    </ns0:p>
    <ns0:p>
      <ns0:pPr>
        <ns0:spacing ns0:after="20" ns0:line="240" ns0:lineRule="auto"/>
      </ns0:pPr>
      <ns0:r>
        <ns0:t>The governance chair retains the separation note and asks the control owner to confirm the next validation date. The result is retained for the assigned 2026 Q3 review period; any variance is handled through the AC-27 exception route rather than by altering the source record.</ns0:t>
      </ns0:r>
    </ns0:p>
    <ns0:p>
      <ns0:r>
        <ns0:rPr>
          <ns0:b/>
          <ns0:color ns0:val="1F4D78"/>
        </ns0:rPr>
        <ns0:t>Linked source narrative</ns0:t>
      </ns0:r>
    </ns0:p>
    <ns0:p>
      <ns0:pPr>
        <ns0:spacing ns0:after="20" ns0:line="240" ns0:lineRule="auto"/>
      </ns0:pPr>
      <ns0:r>
        <ns0:t>The linked evidence registry identifies evidence set 184 as the bounded July AC-27 package of 24 synthetic items. The linked date registry identifies 2026-07-15 as remediation-plan and retention-disposition validation.</ns0:t>
      </ns0:r>
    </ns0:p>
    <ns0:p>
      <ns0:r>
        <ns0:rPr>
          <ns0:b/>
          <ns0:color ns0:val="1F4D78"/>
        </ns0:rPr>
        <ns0:t>Safety boundary</ns0:t>
      </ns0:r>
    </ns0:p>
    <ns0:p>
      <ns0:pPr>
        <ns0:spacing ns0:after="20" ns0:line="240" ns0:lineRule="auto"/>
      </ns0:pPr>
      <ns0:r>
        <ns0:t>All material is synthetic defensive GRC evidence. It asserts no Kio indexing, history, chunks, search quality, or performance result.</ns0:t>
      </ns0:r>
    </ns0:p>
    <ns0:sectPr ns0:rsidR="00FC693F" ns0:rsidRPr="0006063C" ns0:rsidSect="00034616">
      <ns0:footerReference ns0:type="default" ns2:id="rId9"/>
      <ns0:pgSz ns0:w="12240" ns0:h="15840"/>
      <ns0:pgMar ns0:top="691" ns0:right="835" ns0:bottom="648" ns0:left="835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evidence only | No live systems or personal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