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Q3 Threat Model Residual Risk Review Document Docx</ns0:t>
      </ns0:r>
    </ns0:p>
    <ns0:p>
      <ns0:r>
        <ns0:rPr>
          <ns0:color ns0:val="5A5A5A"/>
          <ns0:sz ns0:val="16"/>
        </ns0:rPr>
        <ns0:t>Artifact p03-full-001711 -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p03-full-000623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 Q3 review period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2026-07-13; source review period: 2026 Q3; topic: residual-risk;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source-date segregation lens demonstrate the closure count does not erase timeliness from the directly linked residual-risk record while keeping source period 2026-07-13 distinct from the assigned 2026 Q3 review period?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review-date and planning-period fields and tests that the report never conflates the two temporal meanings. It then applies the acceptance condition that the closure count does not erase timeliness;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source-date-segregation-the-closure-count-does-not-erase-timeliness-triangulation, source-date-segregation-the-closure-count-does-not-erase-timeliness-counterfactual, source-date-segregation-the-closure-count-does-not-erase-timeliness-threshold, and source-date-segregation-the-closure-count-does-not-erase-timeliness-corroboration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final completion confirms closure status but cannot replace the separate 47-of-48 timeliness measure. The source identifies p03-src-000623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source-date segregation finding is that the closure count does not erase timeliness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source-date segregation workpaper, retain source p03-src-000623 with source date 2026-07-13 and an assigned review period of 2026 Q3; send the source-date-segregation-the-closure-count-does-not-erase-timeliness-closure outcome to the next evidence-chain review, while routing any variance through the source-date-segregation-the-closure-count-does-not-erase-timeliness-exception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evidence registry identifies evidence set 184 as the bounded July AC-27 package of 24 synthetic items. The linked planning-period registry defines 2026 Q3 as 2026-07-01 through 2026-09-30.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