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p03-full-007355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2026-q3-vulnerability-register-closure-evidence-evidence-metrics-tsv-s003319.tsv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2026-07-13. The source record period (2026 Q3)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p03-full-003319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p03-src-003319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security/vulnerabilities/foundation/data/2026-q3-vulnerability-register-closure-evidence-evidence-metrics-tsv-s003319.tsv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 Q3 review period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exception.exc-260713-006 = EXC-260713-006 records one synthetic delayed reviewer attestation; compensating review completes on 2026-07-14. | period.2026-q3 = 2026 Q3 review period is the governance planning period from 2026-07-01 through 2026-09-30.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action linkage checkpoint / timeliness checkpoint / timely-to-follow-up route?</ns0:t>
      </ns0:r>
    </ns0:p>
    <ns0:p>
      <ns0:r>
        <ns0:t>Test method: match action language to the disposition context; then compare timely and reviewed counts as source observations through the timely-to-follow-up route.</ns0:t>
      </ns0:r>
    </ns0:p>
    <ns0:p>
      <ns0:r>
        <ns0:t>Analytic rationale: An action-linkage review confirms that follow-up language remains tied to the stated disposition. Evidence procedure: The timely value is treated as a historical observation and not rewritten after follow-up. This artifact uses the timely-to-follow-up route to keep its decision bounded. Procedural safeguard: Record the earlier observation before discussing later compensating review.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action linkage checkpoint / timeliness checkpoint / timely-to-follow-up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2026-07-13; the direct source period is 2026 Q3.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