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Remediation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metric interpretation review documents the remediation perspective for Cobalt Harbor Systems. It uses scope-local foundation record p03-full-002465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p03-full-005294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p03-full-002465 | direct dependency record period: 2026-07-15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>
              <w:t>Artifact review period</w:t>
            </w:r>
          </w:p>
        </w:tc>
        <w:tc>
          <w:tcPr>
            <w:tcW w:type="dxa" w:w="4680"/>
            <w:vAlign w:val="center"/>
          </w:tcPr>
          <w:p>
            <w:r>
              <w:t>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Artifact review period: 2026-07-14. Direct dependency record period: 2026-07-15. The review test is to review the meaning of the 97.9% timely rate versus 100.0% final completion.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the two measures are not collapsed into one.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p03-full-005294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