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Vulnerability Register Closure Evidence Review</w:t>
      </w:r>
    </w:p>
    <w:p>
      <w:r>
        <w:rPr>
          <w:i/>
          <w:color w:val="595959"/>
        </w:rPr>
        <w:t>Security GRC Analyst • AC-27 review support • synthetic evidence set 184</w:t>
      </w:r>
    </w:p>
    <w:p>
      <w:pPr>
        <w:pStyle w:val="Heading1"/>
      </w:pPr>
      <w:r>
        <w:t>Review purpose</w:t>
      </w:r>
    </w:p>
    <w:p>
      <w:r>
        <w:t>This bounded exception governance review documents the closure evidence perspective for Cobalt Harbor Systems. It uses scope-local foundation record p03-full-002505 and supports Aegis Control AC-27 evidence handling. It is synthetic governance documentation, not a vulnerability test, incident report, or operational access record.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Artifact ID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p03-full-001311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Foundation record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p03-full-002505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Review period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2026-07-15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Control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Aegis Control AC-27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Case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CASE-260713-184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Risk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RISK-031 — residual Medium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Exception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EXC-260713-006 — compensating review completed 2026-07-14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Action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ACT-260713-011 — completion register published 2026-07-15</w:t>
            </w:r>
          </w:p>
        </w:tc>
      </w:tr>
    </w:tbl>
    <w:p>
      <w:pPr>
        <w:pStyle w:val="Heading1"/>
      </w:pPr>
      <w:r>
        <w:t>Evidence basis and review test</w:t>
      </w:r>
    </w:p>
    <w:p>
      <w:r>
        <w:t>The foundation record describes closure evidence for 2026-07-15. The review test is to review the EXC-260713-006 rationale, owner separation, and closure evidence. Evidence set 184 remains a bounded package of 24 synthetic items: 12 access-review attestations, 6 approval records, 4 checksum manifests, and 2 exception records.</w:t>
      </w:r>
    </w:p>
    <w:p>
      <w:pPr>
        <w:pStyle w:val="Heading1"/>
      </w:pPr>
      <w:r>
        <w:t>Finding and decision</w:t>
      </w:r>
    </w:p>
    <w:p>
      <w:r>
        <w:t>The reviewer records the following finding: confirm preparer and reviewer roles remain separated for the disposition. The foundation metrics remain 48 reviewed synthetic privileged-role records, 47 timely attestations, and final completion of 48 of 48 after compensating review. The decision is to retain RISK-031 at residual Medium and keep the closed-with-follow-up disposition traceable to the named record.</w:t>
      </w:r>
    </w:p>
    <w:p>
      <w:pPr>
        <w:pStyle w:val="Heading1"/>
      </w:pPr>
      <w:r>
        <w:t>Boundary statement</w:t>
      </w:r>
    </w:p>
    <w:p>
      <w:r>
        <w:t>The delayed attestation is recorded rather than rewritten. This document does not assert a live-system finding, exploitability, or Kio indexing, history, search, chunk, or performance outcome.</w:t>
      </w:r>
    </w:p>
    <w:p>
      <w:pPr>
        <w:pStyle w:val="Heading1"/>
      </w:pPr>
      <w:r>
        <w:t>Reviewer checks</w:t>
      </w:r>
    </w:p>
    <w:p>
      <w:pPr>
        <w:pStyle w:val="ListBullet"/>
      </w:pPr>
      <w:r>
        <w:t>Confirm the source record identifier and review period.</w:t>
      </w:r>
    </w:p>
    <w:p>
      <w:pPr>
        <w:pStyle w:val="ListBullet"/>
      </w:pPr>
      <w:r>
        <w:t>Confirm the exception linkage and one-calendar-day closure window.</w:t>
      </w:r>
    </w:p>
    <w:p>
      <w:pPr>
        <w:pStyle w:val="ListBullet"/>
      </w:pPr>
      <w:r>
        <w:t>Confirm role separation for the exception disposition.</w:t>
      </w:r>
    </w:p>
    <w:p>
      <w:pPr>
        <w:pStyle w:val="ListBullet"/>
      </w:pPr>
      <w:r>
        <w:t>Retain the synthetic packet under the 18-month evidence minimum.</w:t>
      </w:r>
    </w:p>
    <w:p>
      <w:pPr>
        <w:pStyle w:val="Heading1"/>
      </w:pPr>
      <w:r>
        <w:t>Synthetic-use notice</w:t>
      </w:r>
    </w:p>
    <w:p>
      <w:r>
        <w:t>All organizations, records, dates, measures, and identifiers in this document are fictional corpus evidence. No personal data, credentials, live targets, or source-system exports are included.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— no Kio readiness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Calibri" w:hAnsi="Calibri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Vulnerability Register Review p03-full-001311</dc:title>
  <dc:subject/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