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p03-full-008169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2026-07-20-vulnerability-register-closure-evidence-evidence-metrics-csv-s003107.csv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2026-07-15. The source record period (2026-07-20)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security/vulnerabilities/foundation/data/2026-07-20-vulnerability-register-closure-evidence-evidence-metrics-csv-s003107.csv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2026-07-20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date.2026-07-20 = 2026-07-20 is the seven-day follow-up for closure evidence and residual-risk status.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action linkage checkpoint / lineage checkpoint / source-to-table route?</ns0:t>
      </ns0:r>
    </ns0:p>
    <ns0:p>
      <ns0:r>
        <ns0:t>Test method: match action language to the disposition context; then compare each populated source field to the readable register through the source-to-table route.</ns0:t>
      </ns0:r>
    </ns0:p>
    <ns0:p>
      <ns0:r>
        <ns0:t>Analytic rationale: An action-linkage review confirms that follow-up language remains tied to the stated disposition. Evidence procedure: Field values are read in source order before a conclusion is drafted. This artifact uses the source-to-table route to keep its decision bounded. Procedural safeguard: Use the source filename only for traceability; the decision remains grounded in structured fields.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action linkage checkpoint / lineage checkpoint / source-to-table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2026-07-15; the direct source period is 2026-07-20.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