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Remediation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approval separation review documents the remediation perspective for Cobalt Harbor Systems. It uses scope-local foundation record p03-full-002806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p03-full-004494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p03-full-002806 | direct dependency record period: 2026-07-13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2026-07-15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2026-07-15. Direct dependency record period: 2026-07-13. The review test is to review the exception disposition against AC-27 dual-role separation.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the approval requirement is explicitly retained in the reviewer checklist.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p03-full-004494</dc:title>
  <dc:subject/>
  <dc:creator>Cobalt Harbor Systems</dc:creator>
  <cp:keywords/>
  <dc:description>Artifact and direct-dependency periods separately labelled for cross-audit.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