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p03-full-008433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2026-07-20-vulnerability-register-closure-evidence-evidence-metrics-csv-s003107.csv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the 2026 Q3 review period. The source record period (2026-07-20)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security/vulnerabilities/foundation/data/2026-07-20-vulnerability-register-closure-evidence-evidence-metrics-csv-s003107.csv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2026-07-20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date.2026-07-20 = 2026-07-20 is the seven-day follow-up for closure evidence and residual-risk status.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action linkage checkpoint / provenance checkpoint / date-to-provenance route?</ns0:t>
      </ns0:r>
    </ns0:p>
    <ns0:p>
      <ns0:r>
        <ns0:t>Test method: match action language to the disposition context; then separate assignment timing from source provenance through the date-to-provenance route.</ns0:t>
      </ns0:r>
    </ns0:p>
    <ns0:p>
      <ns0:r>
        <ns0:t>Analytic rationale: An action-linkage review confirms that follow-up language remains tied to the stated disposition. Evidence procedure: The direct record name is retained so a reviewer can repeat the check without a search claim. This artifact uses the date-to-provenance route to keep its decision bounded. Procedural safeguard: Keep chronology labels in separate columns so provenance cannot become an implied review result.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action linkage checkpoint / provenance checkpoint / date-to-provenance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 Q3; the direct source period is 2026-07-20.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