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Exception Age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p03-full-009833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2026-07-15-vulnerability-register-exception-age-evidence-metrics-tsv-s002785.tsv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exception age evidence assigned to the 2026 Q3 review period. The source record period (2026-07-15)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p03-full-002785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p03-src-002785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security/vulnerabilities/foundation/data/2026-07-15-vulnerability-register-exception-age-evidence-metrics-tsv-s002785.tsv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2026-07-15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exception age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exception-age records the one-calendar-day EXC-260713-006 compensating-review window and closure status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exception.exc-260713-006 = EXC-260713-006 records one synthetic delayed reviewer attestation; compensating review completes on 2026-07-14. | date.2026-07-15 = 2026-07-15 is control-owner remediation-plan and retention-disposition validation.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exception age record support a bounded AC-27 topic fidelity checkpoint / package boundary checkpoint / package-to-retention route?</ns0:t>
      </ns0:r>
    </ns0:p>
    <ns0:p>
      <ns0:r>
        <ns0:t>Test method: use the source topic as the sole subject of record; then limit package inclusion to synthetic evidence through the package-to-retention route.</ns0:t>
      </ns0:r>
    </ns0:p>
    <ns0:p>
      <ns0:r>
        <ns0:t>Analytic rationale: A topic-fidelity review prevents a path label from silently replacing the dependency’s register topic. Evidence procedure: The package decision stays inside the documented synthetic evidence boundary. This artifact uses the package-to-retention route to keep its decision bounded. Procedural safeguard: Separate a package-retention recommendation from any claim about a production environment.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exception age and states exception-age records the one-calendar-day EXC-260713-006 compensating-review window and closure status.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topic fidelity checkpoint / package boundary checkpoint / package-to-retention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 Q3; the direct source period is 2026-07-15.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