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Remediation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evidence package composition review documents the remediation perspective for Cobalt Harbor Systems. It uses scope-local foundation record p03-full-003278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p03-full-005494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p03-full-003278 | direct dependency record period: 2026-07-20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>
              <ns0:t>Artifact review period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Artifact review period: 2026 Q3. Direct dependency record period: 2026-07-20. The review test is to review the composition of evidence set 184.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the four evidence categories remain distinguishable in the summary.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p03-full-005494</dc:title>
  <dc:subject/>
  <dc:creator>Cobalt Harbor Systems</dc:creator>
  <ns0:keywords/>
  <dc:description>Artifact and direct-dependency periods separately labelled for cross-audit.</dc:description>
  <ns0:lastModifiedBy/>
  <ns0:revision>1</ns0:revision>
  <ns2:created xsi:type="dcterms:W3CDTF">2013-12-23T23:15:00Z</ns2:created>
  <ns2:modified xsi:type="dcterms:W3CDTF">2013-12-23T23:15:00Z</ns2:modified>
  <ns0:category/>
</ns0:coreProperties>
</file>