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Risk Treatment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p03-full-009168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2026-07-15-vulnerability-register-risk-treatment-evidence-metrics-csv-s002396.csv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risk treatment evidence assigned to the 2026 Q3 review period. The source record period (2026-07-15)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p03-full-002396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p03-src-002396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security/vulnerabilities/foundation/data/2026-07-15-vulnerability-register-risk-treatment-evidence-metrics-csv-s002396.csv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risk treatment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 treatment records the compensating review that reduces RISK-031 to Medium residual risk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date.2026-07-15 = 2026-07-15 is control-owner remediation-plan and retention-disposition validation.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risk treatment record support a bounded AC-27 timeliness checkpoint / lineage checkpoint / field-to-conclusion route?</ns0:t>
      </ns0:r>
    </ns0:p>
    <ns0:p>
      <ns0:r>
        <ns0:t>Test method: compare timely and reviewed counts as source observations; then compare each populated source field to the readable register through the field-to-conclusion route.</ns0:t>
      </ns0:r>
    </ns0:p>
    <ns0:p>
      <ns0:r>
        <ns0:t>Analytic rationale: A timeliness review holds the early-attestation observation apart from later compensating review. Evidence procedure: Field values are read in source order before a conclusion is drafted. This artifact uses the field-to-conclusion route to keep its decision bounded. Procedural safeguard: Map the source field to a stated conclusion and reject any conclusion with no field anchor.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risk treatment and states risk treatment records the compensating review that reduces RISK-031 to Medium residual risk.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timeliness checkpoint / lineage checkpoint / field-to-conclusion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 Q3; the direct source period is 2026-07-15.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