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23B4A"/>
          <w:sz w:val="44"/>
        </w:rPr>
        <w:t>Note-taking conventions</w:t>
      </w:r>
    </w:p>
    <w:p>
      <w:pPr>
        <w:spacing w:after="240"/>
      </w:pPr>
      <w:r>
        <w:rPr>
          <w:color w:val="50616A"/>
          <w:sz w:val="18"/>
        </w:rPr>
        <w:t>Study Alpha anchor: 2026-07-13 | session UX-184 | planned n=24</w:t>
      </w:r>
    </w:p>
    <w:p>
      <w:pPr>
        <w:pStyle w:val="Heading1"/>
      </w:pPr>
      <w:r>
        <w:t>Purpose</w:t>
      </w:r>
    </w:p>
    <w:p>
      <w:r>
        <w:t>These conventions make session evidence traceable without treating every note as a conclusion. Use short, checkable entries and preserve the distinction between observed events and later interpretation.</w:t>
      </w:r>
    </w:p>
    <w:p>
      <w:pPr>
        <w:pStyle w:val="Heading1"/>
      </w:pPr>
      <w:r>
        <w:t>Session note structure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4F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fill="EAF4F6"/>
          </w:tcPr>
          <w:p>
            <w:r>
              <w:rPr>
                <w:b/>
              </w:rPr>
              <w:t>Convention</w:t>
            </w:r>
          </w:p>
        </w:tc>
        <w:tc>
          <w:tcPr>
            <w:tcW w:type="dxa" w:w="3312"/>
            <w:shd w:fill="EAF4F6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</w:tcPr>
          <w:p>
            <w:r>
              <w:t>Session ID</w:t>
            </w:r>
          </w:p>
        </w:tc>
        <w:tc>
          <w:tcPr>
            <w:tcW w:type="dxa" w:w="3312"/>
          </w:tcPr>
          <w:p>
            <w:r>
              <w:t>Use stable synthetic identifier.</w:t>
            </w:r>
          </w:p>
        </w:tc>
        <w:tc>
          <w:tcPr>
            <w:tcW w:type="dxa" w:w="3312"/>
          </w:tcPr>
          <w:p>
            <w:r>
              <w:t>UX-184</w:t>
            </w:r>
          </w:p>
        </w:tc>
      </w:tr>
      <w:tr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Record elapsed time or clock time.</w:t>
            </w:r>
          </w:p>
        </w:tc>
        <w:tc>
          <w:tcPr>
            <w:tcW w:type="dxa" w:w="3312"/>
          </w:tcPr>
          <w:p>
            <w:r>
              <w:t>14:07</w:t>
            </w:r>
          </w:p>
        </w:tc>
      </w:tr>
      <w:tr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OBS, QUOTE, INF, DEC, or FOLLOW-UP.</w:t>
            </w:r>
          </w:p>
        </w:tc>
        <w:tc>
          <w:tcPr>
            <w:tcW w:type="dxa" w:w="3312"/>
          </w:tcPr>
          <w:p>
            <w:r>
              <w:t>OBS</w:t>
            </w:r>
          </w:p>
        </w:tc>
      </w:tr>
      <w:tr>
        <w:tc>
          <w:tcPr>
            <w:tcW w:type="dxa" w:w="3312"/>
          </w:tcPr>
          <w:p>
            <w:r>
              <w:t>Note</w:t>
            </w:r>
          </w:p>
        </w:tc>
        <w:tc>
          <w:tcPr>
            <w:tcW w:type="dxa" w:w="3312"/>
          </w:tcPr>
          <w:p>
            <w:r>
              <w:t>Concrete, neutral, contextual.</w:t>
            </w:r>
          </w:p>
        </w:tc>
        <w:tc>
          <w:tcPr>
            <w:tcW w:type="dxa" w:w="3312"/>
          </w:tcPr>
          <w:p>
            <w:r>
              <w:t>Opened filters twice before choosing a tag.</w:t>
            </w:r>
          </w:p>
        </w:tc>
      </w:tr>
      <w:tr>
        <w:tc>
          <w:tcPr>
            <w:tcW w:type="dxa" w:w="3312"/>
          </w:tcPr>
          <w:p>
            <w:r>
              <w:t>Evidence link</w:t>
            </w:r>
          </w:p>
        </w:tc>
        <w:tc>
          <w:tcPr>
            <w:tcW w:type="dxa" w:w="3312"/>
          </w:tcPr>
          <w:p>
            <w:r>
              <w:t>Reference clip, artifact, or note row.</w:t>
            </w:r>
          </w:p>
        </w:tc>
        <w:tc>
          <w:tcPr>
            <w:tcW w:type="dxa" w:w="3312"/>
          </w:tcPr>
          <w:p>
            <w:r>
              <w:t>UX-184 / 14:07</w:t>
            </w:r>
          </w:p>
        </w:tc>
      </w:tr>
    </w:tbl>
    <w:p>
      <w:pPr>
        <w:pStyle w:val="Heading1"/>
      </w:pPr>
      <w:r>
        <w:t>Tags and meaning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4F6"/>
          </w:tcPr>
          <w:p>
            <w:r>
              <w:rPr>
                <w:b/>
              </w:rPr>
              <w:t>Tag</w:t>
            </w:r>
          </w:p>
        </w:tc>
        <w:tc>
          <w:tcPr>
            <w:tcW w:type="dxa" w:w="3312"/>
            <w:shd w:fill="EAF4F6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3312"/>
            <w:shd w:fill="EAF4F6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312"/>
          </w:tcPr>
          <w:p>
            <w:r>
              <w:t>OBS</w:t>
            </w:r>
          </w:p>
        </w:tc>
        <w:tc>
          <w:tcPr>
            <w:tcW w:type="dxa" w:w="3312"/>
          </w:tcPr>
          <w:p>
            <w:r>
              <w:t>Action or visible event</w:t>
            </w:r>
          </w:p>
        </w:tc>
        <w:tc>
          <w:tcPr>
            <w:tcW w:type="dxa" w:w="3312"/>
          </w:tcPr>
          <w:p>
            <w:r>
              <w:t>Describe behavior; no motive.</w:t>
            </w:r>
          </w:p>
        </w:tc>
      </w:tr>
      <w:tr>
        <w:tc>
          <w:tcPr>
            <w:tcW w:type="dxa" w:w="3312"/>
          </w:tcPr>
          <w:p>
            <w:r>
              <w:t>QUOTE</w:t>
            </w:r>
          </w:p>
        </w:tc>
        <w:tc>
          <w:tcPr>
            <w:tcW w:type="dxa" w:w="3312"/>
          </w:tcPr>
          <w:p>
            <w:r>
              <w:t>Participant wording</w:t>
            </w:r>
          </w:p>
        </w:tc>
        <w:tc>
          <w:tcPr>
            <w:tcW w:type="dxa" w:w="3312"/>
          </w:tcPr>
          <w:p>
            <w:r>
              <w:t>Use quotation marks; preserve material wording.</w:t>
            </w:r>
          </w:p>
        </w:tc>
      </w:tr>
      <w:tr>
        <w:tc>
          <w:tcPr>
            <w:tcW w:type="dxa" w:w="3312"/>
          </w:tcPr>
          <w:p>
            <w:r>
              <w:t>INF</w:t>
            </w:r>
          </w:p>
        </w:tc>
        <w:tc>
          <w:tcPr>
            <w:tcW w:type="dxa" w:w="3312"/>
          </w:tcPr>
          <w:p>
            <w:r>
              <w:t>Researcher interpretation</w:t>
            </w:r>
          </w:p>
        </w:tc>
        <w:tc>
          <w:tcPr>
            <w:tcW w:type="dxa" w:w="3312"/>
          </w:tcPr>
          <w:p>
            <w:r>
              <w:t>Name supporting OBS/QUOTE IDs and confidence.</w:t>
            </w:r>
          </w:p>
        </w:tc>
      </w:tr>
      <w:tr>
        <w:tc>
          <w:tcPr>
            <w:tcW w:type="dxa" w:w="3312"/>
          </w:tcPr>
          <w:p>
            <w:r>
              <w:t>DEC</w:t>
            </w:r>
          </w:p>
        </w:tc>
        <w:tc>
          <w:tcPr>
            <w:tcW w:type="dxa" w:w="3312"/>
          </w:tcPr>
          <w:p>
            <w:r>
              <w:t>Team decision</w:t>
            </w:r>
          </w:p>
        </w:tc>
        <w:tc>
          <w:tcPr>
            <w:tcW w:type="dxa" w:w="3312"/>
          </w:tcPr>
          <w:p>
            <w:r>
              <w:t>Record owner, date, and evidence considered.</w:t>
            </w:r>
          </w:p>
        </w:tc>
      </w:tr>
      <w:tr>
        <w:tc>
          <w:tcPr>
            <w:tcW w:type="dxa" w:w="3312"/>
          </w:tcPr>
          <w:p>
            <w:r>
              <w:t>FOLLOW-UP</w:t>
            </w:r>
          </w:p>
        </w:tc>
        <w:tc>
          <w:tcPr>
            <w:tcW w:type="dxa" w:w="3312"/>
          </w:tcPr>
          <w:p>
            <w:r>
              <w:t>Open question or task</w:t>
            </w:r>
          </w:p>
        </w:tc>
        <w:tc>
          <w:tcPr>
            <w:tcW w:type="dxa" w:w="3312"/>
          </w:tcPr>
          <w:p>
            <w:r>
              <w:t>Write an answerable next step.</w:t>
            </w:r>
          </w:p>
        </w:tc>
      </w:tr>
    </w:tbl>
    <w:p>
      <w:pPr>
        <w:pStyle w:val="Heading1"/>
      </w:pPr>
      <w:r>
        <w:t>Example: evidence before explanation</w:t>
      </w:r>
    </w:p>
    <w:p>
      <w:r>
        <w:t>OBS 14:07 - Participant opened Filters, selected “Nearby,” returned to results, and reopened Filters. QUOTE 14:08 - “I thought it would remember that.” INF (medium confidence) - The persistence of selected filters may not be visible. Support: UX-184 OBS 14:07 and QUOTE 14:08. Alternative: the participant may have been checking available options.</w:t>
      </w:r>
    </w:p>
    <w:p>
      <w:pPr>
        <w:pStyle w:val="Heading1"/>
      </w:pPr>
      <w:r>
        <w:t>Close-out checklist</w:t>
      </w:r>
    </w:p>
    <w:p>
      <w:pPr>
        <w:pStyle w:val="ListBullet"/>
      </w:pPr>
      <w:r>
        <w:t>Mark incomplete notes as incomplete; do not silently fill gaps later.</w:t>
      </w:r>
    </w:p>
    <w:p>
      <w:pPr>
        <w:pStyle w:val="ListBullet"/>
      </w:pPr>
      <w:r>
        <w:t>Add accommodation or method changes factually, without diagnosing.</w:t>
      </w:r>
    </w:p>
    <w:p>
      <w:pPr>
        <w:pStyle w:val="ListBullet"/>
      </w:pPr>
      <w:r>
        <w:t>Separate transcript corrections from interpretation.</w:t>
      </w:r>
    </w:p>
    <w:p>
      <w:pPr>
        <w:pStyle w:val="ListBullet"/>
      </w:pPr>
      <w:r>
        <w:t>Log a decision only after its evidence links are present.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Synthetic reference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0616A"/>
        <w:sz w:val="16"/>
      </w:rPr>
      <w:t>BEACON FIELD RESEARCH  |  INTERNAL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