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23B4A"/>
          <w:sz w:val="44"/>
        </w:rPr>
        <w:t>Synthesis facilitation guide</w:t>
      </w:r>
    </w:p>
    <w:p>
      <w:pPr>
        <w:spacing w:after="240"/>
      </w:pPr>
      <w:r>
        <w:rPr>
          <w:color w:val="50616A"/>
          <w:sz w:val="18"/>
        </w:rPr>
        <w:t>Beacon Field Research | Study Alpha anchor: 2026-07-13 | UX-184 | planned n=24</w:t>
      </w:r>
    </w:p>
    <w:p>
      <w:pPr>
        <w:pStyle w:val="Heading1"/>
      </w:pPr>
      <w:r>
        <w:t>What this meeting is for</w:t>
      </w:r>
    </w:p>
    <w:p>
      <w:r>
        <w:t>A synthesis session turns traceable notes into a shared, testable understanding. It is not a vote on the loudest story. The facilitator protects evidence quality, records uncertainty, and makes decision ownership explicit.</w:t>
      </w:r>
    </w:p>
    <w:p>
      <w:pPr>
        <w:pStyle w:val="Heading1"/>
      </w:pPr>
      <w:r>
        <w:t>Suggested 75-minute agenda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4F6"/>
          </w:tcPr>
          <w:p>
            <w:r>
              <w:rPr>
                <w:b/>
              </w:rPr>
              <w:t>Minutes</w:t>
            </w:r>
          </w:p>
        </w:tc>
        <w:tc>
          <w:tcPr>
            <w:tcW w:type="dxa" w:w="3312"/>
            <w:shd w:fill="EAF4F6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3312"/>
            <w:shd w:fill="EAF4F6"/>
          </w:tcPr>
          <w:p>
            <w:r>
              <w:rPr>
                <w:b/>
              </w:rPr>
              <w:t>Facilitator move</w:t>
            </w:r>
          </w:p>
        </w:tc>
      </w:tr>
      <w:tr>
        <w:tc>
          <w:tcPr>
            <w:tcW w:type="dxa" w:w="3312"/>
          </w:tcPr>
          <w:p>
            <w:r>
              <w:t>0-10</w:t>
            </w:r>
          </w:p>
        </w:tc>
        <w:tc>
          <w:tcPr>
            <w:tcW w:type="dxa" w:w="3312"/>
          </w:tcPr>
          <w:p>
            <w:r>
              <w:t>Frame the decision and evidence boundary</w:t>
            </w:r>
          </w:p>
        </w:tc>
        <w:tc>
          <w:tcPr>
            <w:tcW w:type="dxa" w:w="3312"/>
          </w:tcPr>
          <w:p>
            <w:r>
              <w:t>Read the question, population scope, and what is out of scope.</w:t>
            </w:r>
          </w:p>
        </w:tc>
      </w:tr>
      <w:tr>
        <w:tc>
          <w:tcPr>
            <w:tcW w:type="dxa" w:w="3312"/>
          </w:tcPr>
          <w:p>
            <w:r>
              <w:t>10-30</w:t>
            </w:r>
          </w:p>
        </w:tc>
        <w:tc>
          <w:tcPr>
            <w:tcW w:type="dxa" w:w="3312"/>
          </w:tcPr>
          <w:p>
            <w:r>
              <w:t>Silent evidence review</w:t>
            </w:r>
          </w:p>
        </w:tc>
        <w:tc>
          <w:tcPr>
            <w:tcW w:type="dxa" w:w="3312"/>
          </w:tcPr>
          <w:p>
            <w:r>
              <w:t>Ask each person to add observations and quotes before interpretations.</w:t>
            </w:r>
          </w:p>
        </w:tc>
      </w:tr>
      <w:tr>
        <w:tc>
          <w:tcPr>
            <w:tcW w:type="dxa" w:w="3312"/>
          </w:tcPr>
          <w:p>
            <w:r>
              <w:t>30-50</w:t>
            </w:r>
          </w:p>
        </w:tc>
        <w:tc>
          <w:tcPr>
            <w:tcW w:type="dxa" w:w="3312"/>
          </w:tcPr>
          <w:p>
            <w:r>
              <w:t>Cluster and name patterns</w:t>
            </w:r>
          </w:p>
        </w:tc>
        <w:tc>
          <w:tcPr>
            <w:tcW w:type="dxa" w:w="3312"/>
          </w:tcPr>
          <w:p>
            <w:r>
              <w:t>Use tentative labels; keep counterexamples nearby.</w:t>
            </w:r>
          </w:p>
        </w:tc>
      </w:tr>
      <w:tr>
        <w:tc>
          <w:tcPr>
            <w:tcW w:type="dxa" w:w="3312"/>
          </w:tcPr>
          <w:p>
            <w:r>
              <w:t>50-65</w:t>
            </w:r>
          </w:p>
        </w:tc>
        <w:tc>
          <w:tcPr>
            <w:tcW w:type="dxa" w:w="3312"/>
          </w:tcPr>
          <w:p>
            <w:r>
              <w:t>Assess confidence and alternatives</w:t>
            </w:r>
          </w:p>
        </w:tc>
        <w:tc>
          <w:tcPr>
            <w:tcW w:type="dxa" w:w="3312"/>
          </w:tcPr>
          <w:p>
            <w:r>
              <w:t>Ask “what else could explain this?” and “where is coverage thin?”</w:t>
            </w:r>
          </w:p>
        </w:tc>
      </w:tr>
      <w:tr>
        <w:tc>
          <w:tcPr>
            <w:tcW w:type="dxa" w:w="3312"/>
          </w:tcPr>
          <w:p>
            <w:r>
              <w:t>65-75</w:t>
            </w:r>
          </w:p>
        </w:tc>
        <w:tc>
          <w:tcPr>
            <w:tcW w:type="dxa" w:w="3312"/>
          </w:tcPr>
          <w:p>
            <w:r>
              <w:t>Decide next actions</w:t>
            </w:r>
          </w:p>
        </w:tc>
        <w:tc>
          <w:tcPr>
            <w:tcW w:type="dxa" w:w="3312"/>
          </w:tcPr>
          <w:p>
            <w:r>
              <w:t>Assign owner, due date, and evidence links; log unresolved questions.</w:t>
            </w:r>
          </w:p>
        </w:tc>
      </w:tr>
    </w:tbl>
    <w:p>
      <w:pPr>
        <w:pStyle w:val="Heading1"/>
      </w:pPr>
      <w:r>
        <w:t>Facilitation language</w:t>
      </w:r>
    </w:p>
    <w:p>
      <w:pPr>
        <w:pStyle w:val="ListBullet"/>
      </w:pPr>
      <w:r>
        <w:t>“What did we observe that supports this label?”</w:t>
      </w:r>
    </w:p>
    <w:p>
      <w:pPr>
        <w:pStyle w:val="ListBullet"/>
      </w:pPr>
      <w:r>
        <w:t>“Is this a participant statement, an interpretation, or a product decision?”</w:t>
      </w:r>
    </w:p>
    <w:p>
      <w:pPr>
        <w:pStyle w:val="ListBullet"/>
      </w:pPr>
      <w:r>
        <w:t>“What evidence would change our mind?”</w:t>
      </w:r>
    </w:p>
    <w:p>
      <w:pPr>
        <w:pStyle w:val="ListBullet"/>
      </w:pPr>
      <w:r>
        <w:t>“Whose experience is absent from this cluster?”</w:t>
      </w:r>
    </w:p>
    <w:p>
      <w:pPr>
        <w:pStyle w:val="ListBullet"/>
      </w:pPr>
      <w:r>
        <w:t>“Let us record this as a hypothesis until we test it.”</w:t>
      </w:r>
    </w:p>
    <w:p>
      <w:pPr>
        <w:pStyle w:val="Heading1"/>
      </w:pPr>
      <w:r>
        <w:t>Finding card template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4F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fill="EAF4F6"/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4968"/>
          </w:tcPr>
          <w:p>
            <w:r>
              <w:t>Claim</w:t>
            </w:r>
          </w:p>
        </w:tc>
        <w:tc>
          <w:tcPr>
            <w:tcW w:type="dxa" w:w="4968"/>
          </w:tcPr>
          <w:p>
            <w:r>
              <w:t>One concise, tentative pattern statement.</w:t>
            </w:r>
          </w:p>
        </w:tc>
      </w:tr>
      <w:tr>
        <w:tc>
          <w:tcPr>
            <w:tcW w:type="dxa" w:w="4968"/>
          </w:tcPr>
          <w:p>
            <w:r>
              <w:t>Evidence</w:t>
            </w:r>
          </w:p>
        </w:tc>
        <w:tc>
          <w:tcPr>
            <w:tcW w:type="dxa" w:w="4968"/>
          </w:tcPr>
          <w:p>
            <w:r>
              <w:t>Linked OBS/QUOTE IDs and relevant counterevidence.</w:t>
            </w:r>
          </w:p>
        </w:tc>
      </w:tr>
      <w:tr>
        <w:tc>
          <w:tcPr>
            <w:tcW w:type="dxa" w:w="4968"/>
          </w:tcPr>
          <w:p>
            <w:r>
              <w:t>Confidence</w:t>
            </w:r>
          </w:p>
        </w:tc>
        <w:tc>
          <w:tcPr>
            <w:tcW w:type="dxa" w:w="4968"/>
          </w:tcPr>
          <w:p>
            <w:r>
              <w:t>Low, medium, or high with reason.</w:t>
            </w:r>
          </w:p>
        </w:tc>
      </w:tr>
      <w:tr>
        <w:tc>
          <w:tcPr>
            <w:tcW w:type="dxa" w:w="4968"/>
          </w:tcPr>
          <w:p>
            <w:r>
              <w:t>Scope</w:t>
            </w:r>
          </w:p>
        </w:tc>
        <w:tc>
          <w:tcPr>
            <w:tcW w:type="dxa" w:w="4968"/>
          </w:tcPr>
          <w:p>
            <w:r>
              <w:t>Who, context, and method conditions.</w:t>
            </w:r>
          </w:p>
        </w:tc>
      </w:tr>
      <w:tr>
        <w:tc>
          <w:tcPr>
            <w:tcW w:type="dxa" w:w="4968"/>
          </w:tcPr>
          <w:p>
            <w:r>
              <w:t>Implication</w:t>
            </w:r>
          </w:p>
        </w:tc>
        <w:tc>
          <w:tcPr>
            <w:tcW w:type="dxa" w:w="4968"/>
          </w:tcPr>
          <w:p>
            <w:r>
              <w:t>Potential product or research action; not a mandate.</w:t>
            </w:r>
          </w:p>
        </w:tc>
      </w:tr>
      <w:tr>
        <w:tc>
          <w:tcPr>
            <w:tcW w:type="dxa" w:w="4968"/>
          </w:tcPr>
          <w:p>
            <w:r>
              <w:t>Owner / next step</w:t>
            </w:r>
          </w:p>
        </w:tc>
        <w:tc>
          <w:tcPr>
            <w:tcW w:type="dxa" w:w="4968"/>
          </w:tcPr>
          <w:p>
            <w:r>
              <w:t>Named owner and a checkable action.</w:t>
            </w:r>
          </w:p>
        </w:tc>
      </w:tr>
    </w:tbl>
    <w:p>
      <w:pPr>
        <w:pStyle w:val="Heading1"/>
      </w:pPr>
      <w:r>
        <w:t>Guardrails</w:t>
      </w:r>
    </w:p>
    <w:p>
      <w:r>
        <w:t>Do not count sticky notes as votes or infer prevalence from a small qualitative set. Study Alpha’s planned n=24 is a planning anchor, not a statistical promise. Preserve disagreement when evidence is mixed; a well-described uncertainty is more useful than false consensus.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Synthetic reference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0616A"/>
        <w:sz w:val="16"/>
      </w:rPr>
      <w:t>BEACON FIELD RESEARCH  |  INTERNAL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6B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6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