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3047"/>
          <w:sz w:val="46"/>
        </w:rPr>
        <w:t>Journey map method notes</w:t>
      </w:r>
    </w:p>
    <w:p>
      <w:r>
        <w:rPr>
          <w:color w:val="64748B"/>
          <w:sz w:val="22"/>
        </w:rPr>
        <w:t>How the Study Alpha synthetic composite journey maps should be read and used.</w:t>
      </w:r>
    </w:p>
    <w:p>
      <w:r>
        <w:rPr>
          <w:color w:val="64748B"/>
          <w:sz w:val="18"/>
        </w:rPr>
        <w:t>Beacon Field Research | Study Alpha | 2026-07-13 | session UX-184 | n=24</w:t>
      </w:r>
    </w:p>
    <w:p>
      <w:pPr>
        <w:pStyle w:val="Heading1"/>
      </w:pPr>
      <w:r>
        <w:t>Purpose</w:t>
      </w:r>
    </w:p>
    <w:p>
      <w:r>
        <w:t>These maps convert coded, synthetic study patterns into a decision aid for design review. They are not a prevalence estimate, a usability benchmark, or a record of individual participants.</w:t>
      </w:r>
    </w:p>
    <w:p>
      <w:pPr>
        <w:pStyle w:val="Heading1"/>
      </w:pPr>
      <w:r>
        <w:t>Source boundary</w:t>
      </w:r>
    </w:p>
    <w:p>
      <w:r>
        <w:t>All content is synthetic and based on composite participant codes S01-S24. There are no names, faces, contact details, recordings, or real quotations. Emotional labels are inferences from observed task behavior and debrief themes.</w:t>
      </w:r>
    </w:p>
    <w:p>
      <w:pPr>
        <w:pStyle w:val="Heading1"/>
      </w:pPr>
      <w:r>
        <w:t>Evidence key</w:t>
      </w:r>
    </w:p>
    <w:p>
      <w:r>
        <w:t>E01 entry-path behavior; E02 label comprehension and confidence checks; E03 navigation and keyboard behavior; E04 assisted recovery; E05 completion choice. Evidence IDs are traceability labels, not external references.</w:t>
      </w:r>
    </w:p>
    <w:p>
      <w:pPr>
        <w:pStyle w:val="Heading1"/>
      </w:pPr>
      <w:r>
        <w:t>Stage definitions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60"/>
            </w:pPr>
            <w:r>
              <w:rPr>
                <w:sz w:val="18"/>
              </w:rPr>
              <w:t>Stage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8"/>
              </w:rPr>
              <w:t>Question answered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sz w:val="18"/>
              </w:rPr>
              <w:t>Output to inspect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Discover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Where do I begin?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Entry point and task framing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Orient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What is expected?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Labels and result preview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Act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Can I proceed?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Action sequence and accessible controls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Confirm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Did it work?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Status, confirmation, and next step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What now?</w:t>
            </w:r>
          </w:p>
        </w:tc>
        <w:tc>
          <w:tcPr>
            <w:tcW w:type="dxa" w:w="3312"/>
            <w:vAlign w:val="center"/>
          </w:tcPr>
          <w:p>
            <w:pPr>
              <w:spacing w:after="60"/>
            </w:pPr>
            <w:r>
              <w:rPr>
                <w:sz w:val="18"/>
              </w:rPr>
              <w:t>Closure, continuation, or recovery</w:t>
            </w:r>
          </w:p>
        </w:tc>
      </w:tr>
    </w:tbl>
    <w:p>
      <w:pPr>
        <w:pStyle w:val="Heading1"/>
      </w:pPr>
      <w:r>
        <w:t>Use in review</w:t>
      </w:r>
    </w:p>
    <w:p>
      <w:r>
        <w:t>Start with a stage, review the matching evidence ID, then decide which clarity or accessibility opportunity is testable in the next prototype. Keep claims qualitative unless a separate study instrument supports measurement.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composite record | Beacon Field Research | Study Alpha | 2026-07-13 | session UX-184 | n=24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748B"/>
        <w:sz w:val="16"/>
      </w:rPr>
      <w:t>BEACON FIELD RESEARCH  |  SYNTHETIC STUDY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