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 Alpha Field Research Plan</w:t>
      </w:r>
    </w:p>
    <w:p>
      <w:pPr>
        <w:pStyle w:val="Subtitle"/>
      </w:pPr>
      <w:r>
        <w:t xml:space="preserve">Seed plan - moderated usability research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5" w:name="study-alpha-field-research-plan"/>
    <w:p>
      <w:pPr>
        <w:pStyle w:val="Heading1"/>
      </w:pPr>
      <w:r>
        <w:t xml:space="preserve">Study Alpha Field Research Plan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decision-frame"/>
    <w:p>
      <w:pPr>
        <w:pStyle w:val="Heading2"/>
      </w:pPr>
      <w:r>
        <w:t xml:space="preserve">Decision frame</w:t>
      </w:r>
    </w:p>
    <w:p>
      <w:pPr>
        <w:pStyle w:val="FirstParagraph"/>
      </w:pPr>
      <w:r>
        <w:t xml:space="preserve">Study Alpha tests whether a revised workflow can be understood, navigated, and recovered by a mixed-accessibility participant set. The study is exploratory; it does not establish prevalence or product readiness.</w:t>
      </w:r>
    </w:p>
    <w:bookmarkEnd w:id="9"/>
    <w:bookmarkStart w:id="10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Identify comprehension barriers before task start.</w:t>
      </w:r>
    </w:p>
    <w:p>
      <w:pPr>
        <w:pStyle w:val="Compact"/>
        <w:numPr>
          <w:ilvl w:val="0"/>
          <w:numId w:val="1001"/>
        </w:numPr>
      </w:pPr>
      <w:r>
        <w:t xml:space="preserve">Observe navigation and recovery patterns through representative tasks.</w:t>
      </w:r>
    </w:p>
    <w:p>
      <w:pPr>
        <w:pStyle w:val="Compact"/>
        <w:numPr>
          <w:ilvl w:val="0"/>
          <w:numId w:val="1001"/>
        </w:numPr>
      </w:pPr>
      <w:r>
        <w:t xml:space="preserve">Surface accessibility needs that change the recommended design response.</w:t>
      </w:r>
    </w:p>
    <w:bookmarkEnd w:id="10"/>
    <w:bookmarkStart w:id="11" w:name="method-and-sample"/>
    <w:p>
      <w:pPr>
        <w:pStyle w:val="Heading2"/>
      </w:pPr>
      <w:r>
        <w:t xml:space="preserve">Method and sample</w:t>
      </w:r>
    </w:p>
    <w:p>
      <w:pPr>
        <w:pStyle w:val="FirstParagraph"/>
      </w:pPr>
      <w:r>
        <w:t xml:space="preserve">Twenty-four synthetic participant codes will complete 60-minute moderated remote sessions. Sampling spans experience bands and assistive-technology familiarity. Session UX-184 is the calibration session on 2026-07-13; S2 and S3 are synthetic shorthand cohorts, not names.</w:t>
      </w:r>
    </w:p>
    <w:bookmarkEnd w:id="11"/>
    <w:bookmarkStart w:id="12" w:name="session-flow"/>
    <w:p>
      <w:pPr>
        <w:pStyle w:val="Heading2"/>
      </w:pPr>
      <w:r>
        <w:t xml:space="preserve">Session flow</w:t>
      </w:r>
    </w:p>
    <w:p>
      <w:pPr>
        <w:pStyle w:val="FirstParagraph"/>
      </w:pPr>
      <w:r>
        <w:t xml:space="preserve">Consent confirmation (5 min); context and warm-up (5 min); task scenarios (32 min); accessibility probes (10 min); reflection and close (8 min). Observers remain muted, use the evidence log, and do not contact participants.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A coded observation set, severity-calibrated opportunity list, accessibility evidence, and an analysis handoff brief. Findings will distinguish observed behavior, participant interpretation, and facilitator inference.</w:t>
      </w:r>
    </w:p>
    <w:bookmarkEnd w:id="13"/>
    <w:bookmarkStart w:id="14" w:name="success-signals"/>
    <w:p>
      <w:pPr>
        <w:pStyle w:val="Heading2"/>
      </w:pPr>
      <w:r>
        <w:t xml:space="preserve">Success signals</w:t>
      </w:r>
    </w:p>
    <w:p>
      <w:pPr>
        <w:pStyle w:val="FirstParagraph"/>
      </w:pPr>
      <w:r>
        <w:t xml:space="preserve">At least 20 analyzable sessions; consistent consent confirmation; remote fallback available; and a traceable handoff linking each claim to coded evidence.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Alpha Field Research Plan</dc:title>
  <dc:creator>Beacon Field Research</dc:creator>
  <cp:keywords/>
  <dcterms:created xsi:type="dcterms:W3CDTF">2026-08-23T15:10:03Z</dcterms:created>
  <dcterms:modified xsi:type="dcterms:W3CDTF">2026-08-23T15:10:03Z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Seed plan - moderated usability research</vt:lpwstr>
  </property>
</Properties>
</file>