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 Screening Criteria</w:t>
      </w:r>
    </w:p>
    <w:p>
      <w:pPr>
        <w:pStyle w:val="Subtitle"/>
      </w:pPr>
      <w:r>
        <w:t xml:space="preserve">Eligibility and sample balance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4" w:name="participant-screening-criteria"/>
    <w:p>
      <w:pPr>
        <w:pStyle w:val="Heading1"/>
      </w:pPr>
      <w:r>
        <w:t xml:space="preserve">Participant Screening Criteria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target-sample"/>
    <w:p>
      <w:pPr>
        <w:pStyle w:val="Heading2"/>
      </w:pPr>
      <w:r>
        <w:t xml:space="preserve">Target sample</w:t>
      </w:r>
    </w:p>
    <w:p>
      <w:pPr>
        <w:pStyle w:val="FirstParagraph"/>
      </w:pPr>
      <w:r>
        <w:t xml:space="preserve">n=24 synthetic participant codes across S2 and S3 cohorts. Balance prior familiarity, confidence with similar workflows, and self-described accessibility preferences without collecting identifying details.</w:t>
      </w:r>
    </w:p>
    <w:bookmarkEnd w:id="9"/>
    <w:bookmarkStart w:id="10" w:name="include-when"/>
    <w:p>
      <w:pPr>
        <w:pStyle w:val="Heading2"/>
      </w:pPr>
      <w:r>
        <w:t xml:space="preserve">Include when</w:t>
      </w:r>
    </w:p>
    <w:p>
      <w:pPr>
        <w:pStyle w:val="FirstParagraph"/>
      </w:pPr>
      <w:r>
        <w:t xml:space="preserve">Age band and context fit the study scenario; able to join a 60-minute moderated session; can provide consent confirmation; can use the standard remote session or the accessible fallback.</w:t>
      </w:r>
    </w:p>
    <w:bookmarkEnd w:id="10"/>
    <w:bookmarkStart w:id="11" w:name="exclude-when"/>
    <w:p>
      <w:pPr>
        <w:pStyle w:val="Heading2"/>
      </w:pPr>
      <w:r>
        <w:t xml:space="preserve">Exclude when</w:t>
      </w:r>
    </w:p>
    <w:p>
      <w:pPr>
        <w:pStyle w:val="FirstParagraph"/>
      </w:pPr>
      <w:r>
        <w:t xml:space="preserve">Unable to consent; requested recording beyond the de-identified note protocol; a duplicate synthetic code; or an accessibility need that the current session setup cannot safely support.</w:t>
      </w:r>
    </w:p>
    <w:bookmarkEnd w:id="11"/>
    <w:bookmarkStart w:id="12" w:name="quota-guardrails"/>
    <w:p>
      <w:pPr>
        <w:pStyle w:val="Heading2"/>
      </w:pPr>
      <w:r>
        <w:t xml:space="preserve">Quota guardrails</w:t>
      </w:r>
    </w:p>
    <w:p>
      <w:pPr>
        <w:pStyle w:val="FirstParagraph"/>
      </w:pPr>
      <w:r>
        <w:t xml:space="preserve">Aim for 8 low-familiarity, 8 mixed-familiarity, and 8 high-familiarity codes. Aim for at least 8 codes who elect one or more accessibility probes. Quotas guide recruitment; they are not demographic claims.</w:t>
      </w:r>
    </w:p>
    <w:bookmarkEnd w:id="12"/>
    <w:bookmarkStart w:id="13" w:name="screening-record"/>
    <w:p>
      <w:pPr>
        <w:pStyle w:val="Heading2"/>
      </w:pPr>
      <w:r>
        <w:t xml:space="preserve">Screening record</w:t>
      </w:r>
    </w:p>
    <w:p>
      <w:pPr>
        <w:pStyle w:val="FirstParagraph"/>
      </w:pPr>
      <w:r>
        <w:t xml:space="preserve">Store code, cohort, availability band, accessibility accommodation requested, consent status, and session state. Do not store names, email addresses, device identifiers, faces, or voice recordings.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Screening Criteria</dc:title>
  <dc:creator>Beacon Field Research</dc:creator>
  <cp:keywords/>
  <dcterms:created xsi:type="dcterms:W3CDTF">2026-08-23T15:10:10Z</dcterms:created>
  <dcterms:modified xsi:type="dcterms:W3CDTF">2026-08-23T15:10:10Z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Eligibility and sample balance</vt:lpwstr>
  </property>
</Properties>
</file>