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Observer Briefing</w:t>
      </w:r>
    </w:p>
    <w:p>
      <w:pPr>
        <w:pStyle w:val="Subtitle"/>
      </w:pPr>
      <w:r>
        <w:t xml:space="preserve">Evidence-first observer protocol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observer-briefing"/>
    <w:p>
      <w:pPr>
        <w:pStyle w:val="Heading1"/>
      </w:pPr>
      <w:r>
        <w:t xml:space="preserve">Observer Briefing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Observers document behavior and language without directing the session. The moderator owns pace, consent confirmation, and participant care.</w:t>
      </w:r>
    </w:p>
    <w:bookmarkEnd w:id="9"/>
    <w:bookmarkStart w:id="10" w:name="before-session"/>
    <w:p>
      <w:pPr>
        <w:pStyle w:val="Heading2"/>
      </w:pPr>
      <w:r>
        <w:t xml:space="preserve">Before session</w:t>
      </w:r>
    </w:p>
    <w:p>
      <w:pPr>
        <w:pStyle w:val="FirstParagraph"/>
      </w:pPr>
      <w:r>
        <w:t xml:space="preserve">Join muted with camera off. Confirm the session code, timebox, note template, and escalation channel. Read the accessibility accommodation note if provided.</w:t>
      </w:r>
    </w:p>
    <w:bookmarkEnd w:id="10"/>
    <w:bookmarkStart w:id="11" w:name="during-session"/>
    <w:p>
      <w:pPr>
        <w:pStyle w:val="Heading2"/>
      </w:pPr>
      <w:r>
        <w:t xml:space="preserve">During session</w:t>
      </w:r>
    </w:p>
    <w:p>
      <w:pPr>
        <w:pStyle w:val="FirstParagraph"/>
      </w:pPr>
      <w:r>
        <w:t xml:space="preserve">Log timestamp, task, observed action, participant wording, barrier, workaround, and confidence signal. Mark inference separately from observation. Do not chat with the participant or introduce probes.</w:t>
      </w:r>
    </w:p>
    <w:bookmarkEnd w:id="11"/>
    <w:bookmarkStart w:id="12" w:name="escalation"/>
    <w:p>
      <w:pPr>
        <w:pStyle w:val="Heading2"/>
      </w:pPr>
      <w:r>
        <w:t xml:space="preserve">Escalation</w:t>
      </w:r>
    </w:p>
    <w:p>
      <w:pPr>
        <w:pStyle w:val="FirstParagraph"/>
      </w:pPr>
      <w:r>
        <w:t xml:space="preserve">If consent becomes unclear, an accessibility barrier prevents continuation, or a participant appears distressed, message the moderator privately. The moderator pauses or ends the session.</w:t>
      </w:r>
    </w:p>
    <w:bookmarkEnd w:id="12"/>
    <w:bookmarkStart w:id="13" w:name="after-session"/>
    <w:p>
      <w:pPr>
        <w:pStyle w:val="Heading2"/>
      </w:pPr>
      <w:r>
        <w:t xml:space="preserve">After session</w:t>
      </w:r>
    </w:p>
    <w:p>
      <w:pPr>
        <w:pStyle w:val="FirstParagraph"/>
      </w:pPr>
      <w:r>
        <w:t xml:space="preserve">Spend five minutes reconciling evidence with the moderator. Use the synthetic code only and delete any transient personal detail inadvertently typed into notes.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Observer Briefing</dc:title>
  <dc:creator>Beacon Field Research</dc:creator>
  <cp:keywords/>
  <dcterms:created xsi:type="dcterms:W3CDTF">2026-08-23T15:10:13Z</dcterms:created>
  <dcterms:modified xsi:type="dcterms:W3CDTF">2026-08-23T15:10:13Z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Evidence-first observer protocol</vt:lpwstr>
  </property>
</Properties>
</file>