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Operations Checklist</w:t>
      </w:r>
    </w:p>
    <w:p>
      <w:pPr>
        <w:pStyle w:val="Subtitle"/>
      </w:pPr>
      <w:r>
        <w:t xml:space="preserve">Day-of fieldwork control list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research-operations-checklist"/>
    <w:p>
      <w:pPr>
        <w:pStyle w:val="Heading1"/>
      </w:pPr>
      <w:r>
        <w:t xml:space="preserve">Research Operations Checklist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t-30-minutes"/>
    <w:p>
      <w:pPr>
        <w:pStyle w:val="Heading2"/>
      </w:pPr>
      <w:r>
        <w:t xml:space="preserve">T-30 minutes</w:t>
      </w:r>
    </w:p>
    <w:p>
      <w:pPr>
        <w:pStyle w:val="FirstParagraph"/>
      </w:pPr>
      <w:r>
        <w:t xml:space="preserve">Verify meeting link, backup accessible remote route, task materials, note template, observer roster, and timer.</w:t>
      </w:r>
    </w:p>
    <w:bookmarkEnd w:id="9"/>
    <w:bookmarkStart w:id="10" w:name="t-5-minutes"/>
    <w:p>
      <w:pPr>
        <w:pStyle w:val="Heading2"/>
      </w:pPr>
      <w:r>
        <w:t xml:space="preserve">T-5 minutes</w:t>
      </w:r>
    </w:p>
    <w:p>
      <w:pPr>
        <w:pStyle w:val="FirstParagraph"/>
      </w:pPr>
      <w:r>
        <w:t xml:space="preserve">Confirm participant synthetic code, moderator guide version, observer mute/camera state, and consent prompt readiness.</w:t>
      </w:r>
    </w:p>
    <w:bookmarkEnd w:id="10"/>
    <w:bookmarkStart w:id="11" w:name="during"/>
    <w:p>
      <w:pPr>
        <w:pStyle w:val="Heading2"/>
      </w:pPr>
      <w:r>
        <w:t xml:space="preserve">During</w:t>
      </w:r>
    </w:p>
    <w:p>
      <w:pPr>
        <w:pStyle w:val="FirstParagraph"/>
      </w:pPr>
      <w:r>
        <w:t xml:space="preserve">Follow the 60-minute timebox. Record only de-identified observations. Pause if consent or access conditions change.</w:t>
      </w:r>
    </w:p>
    <w:bookmarkEnd w:id="11"/>
    <w:bookmarkStart w:id="12" w:name="t10-minutes"/>
    <w:p>
      <w:pPr>
        <w:pStyle w:val="Heading2"/>
      </w:pPr>
      <w:r>
        <w:t xml:space="preserve">T+10 minutes</w:t>
      </w:r>
    </w:p>
    <w:p>
      <w:pPr>
        <w:pStyle w:val="FirstParagraph"/>
      </w:pPr>
      <w:r>
        <w:t xml:space="preserve">Complete evidence reconciliation, label notes by session code, capture accommodation outcome, and queue follow-up only through the approved synthetic workflow.</w:t>
      </w:r>
    </w:p>
    <w:bookmarkEnd w:id="12"/>
    <w:bookmarkStart w:id="13" w:name="end-of-day"/>
    <w:p>
      <w:pPr>
        <w:pStyle w:val="Heading2"/>
      </w:pPr>
      <w:r>
        <w:t xml:space="preserve">End of day</w:t>
      </w:r>
    </w:p>
    <w:p>
      <w:pPr>
        <w:pStyle w:val="FirstParagraph"/>
      </w:pPr>
      <w:r>
        <w:t xml:space="preserve">Check 24-sample progress, missing fields, risk log updates, and analysis-handoff readiness. Store notes according to the data-handling protocol.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Operations Checklist</dc:title>
  <dc:creator>Beacon Field Research</dc:creator>
  <cp:keywords/>
  <dcterms:created xsi:type="dcterms:W3CDTF">2026-08-23T15:10:15Z</dcterms:created>
  <dcterms:modified xsi:type="dcterms:W3CDTF">2026-08-23T15:10:15Z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Day-of fieldwork control list</vt:lpwstr>
  </property>
</Properties>
</file>