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Handoff Brief</w:t>
      </w:r>
    </w:p>
    <w:p>
      <w:pPr>
        <w:pStyle w:val="Subtitle"/>
      </w:pPr>
      <w:r>
        <w:t xml:space="preserve">From sessions to evidence-backed synthesis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4" w:name="analysis-handoff-brief"/>
    <w:p>
      <w:pPr>
        <w:pStyle w:val="Heading1"/>
      </w:pPr>
      <w:r>
        <w:t xml:space="preserve">Analysis Handoff Brief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handoff-package"/>
    <w:p>
      <w:pPr>
        <w:pStyle w:val="Heading2"/>
      </w:pPr>
      <w:r>
        <w:t xml:space="preserve">Handoff package</w:t>
      </w:r>
    </w:p>
    <w:p>
      <w:pPr>
        <w:pStyle w:val="FirstParagraph"/>
      </w:pPr>
      <w:r>
        <w:t xml:space="preserve">For each of n=24 sessions: synthetic code, cohort, consent-confirmed state, task timestamps, observations, direct de-identified wording, accessibility notes, and moderator interpretation marked separately.</w:t>
      </w:r>
    </w:p>
    <w:bookmarkEnd w:id="9"/>
    <w:bookmarkStart w:id="10" w:name="coding-frame"/>
    <w:p>
      <w:pPr>
        <w:pStyle w:val="Heading2"/>
      </w:pPr>
      <w:r>
        <w:t xml:space="preserve">Coding frame</w:t>
      </w:r>
    </w:p>
    <w:p>
      <w:pPr>
        <w:pStyle w:val="FirstParagraph"/>
      </w:pPr>
      <w:r>
        <w:t xml:space="preserve">Tag evidence as comprehension, navigation, recovery, trust, accessibility, or operational friction. Assign confidence based on clarity and recurrence; do not calculate rates beyond the observed sample.</w:t>
      </w:r>
    </w:p>
    <w:bookmarkEnd w:id="10"/>
    <w:bookmarkStart w:id="11" w:name="claim-standard"/>
    <w:p>
      <w:pPr>
        <w:pStyle w:val="Heading2"/>
      </w:pPr>
      <w:r>
        <w:t xml:space="preserve">Claim standard</w:t>
      </w:r>
    </w:p>
    <w:p>
      <w:pPr>
        <w:pStyle w:val="FirstParagraph"/>
      </w:pPr>
      <w:r>
        <w:t xml:space="preserve">Every synthesis claim must reference at least two evidence IDs or be labelled as a single-session signal. Preserve contradictory evidence and failed tasks.</w:t>
      </w:r>
    </w:p>
    <w:bookmarkEnd w:id="11"/>
    <w:bookmarkStart w:id="12" w:name="working-cadence"/>
    <w:p>
      <w:pPr>
        <w:pStyle w:val="Heading2"/>
      </w:pPr>
      <w:r>
        <w:t xml:space="preserve">Working cadence</w:t>
      </w:r>
    </w:p>
    <w:p>
      <w:pPr>
        <w:pStyle w:val="FirstParagraph"/>
      </w:pPr>
      <w:r>
        <w:t xml:space="preserve">Two analysts independently code a calibration subset including UX-184, reconcile definitions, then split the remaining sessions. Hold a synthesis workshop after the codebook stabilizes.</w:t>
      </w:r>
    </w:p>
    <w:bookmarkEnd w:id="12"/>
    <w:bookmarkStart w:id="13" w:name="decision-output"/>
    <w:p>
      <w:pPr>
        <w:pStyle w:val="Heading2"/>
      </w:pPr>
      <w:r>
        <w:t xml:space="preserve">Decision output</w:t>
      </w:r>
    </w:p>
    <w:p>
      <w:pPr>
        <w:pStyle w:val="FirstParagraph"/>
      </w:pPr>
      <w:r>
        <w:t xml:space="preserve">Produce opportunity statements, evidence excerpts, accessibility implications, confidence notes, and suggested next research questions.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Handoff Brief</dc:title>
  <dc:creator>Beacon Field Research</dc:creator>
  <cp:keywords/>
  <dcterms:created xsi:type="dcterms:W3CDTF">2026-08-23T15:10:22Z</dcterms:created>
  <dcterms:modified xsi:type="dcterms:W3CDTF">2026-08-23T15:10:22Z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From sessions to evidence-backed synthesis</vt:lpwstr>
  </property>
</Properties>
</file>