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1F4D78"/>
          <w:sz w:val="40"/>
        </w:rPr>
        <w:t>Study Beta Moderator Guide</w:t>
      </w:r>
    </w:p>
    <w:p>
      <w:r>
        <w:rPr>
          <w:i/>
          <w:color w:val="5A5A5A"/>
        </w:rPr>
        <w:t>Beacon Field Research | July 20-23, 2026 | 60-minute remote session</w:t>
      </w:r>
    </w:p>
    <w:p>
      <w:pPr>
        <w:pStyle w:val="Heading1"/>
      </w:pPr>
      <w:r>
        <w:t>Study purpose and guardrails</w:t>
      </w:r>
    </w:p>
    <w:p>
      <w:r>
        <w:t>This formative study examines a fictional field-note prototype. It follows Study Alpha (2026-07-13, session UX-184, n=24) with a focused n=8 Study Beta sample. Do not evaluate participants or promise product changes.</w:t>
      </w:r>
    </w:p>
    <w:p>
      <w:pPr>
        <w:pStyle w:val="Heading1"/>
      </w:pPr>
      <w:r>
        <w:t>Before joining</w:t>
      </w:r>
    </w:p>
    <w:p>
      <w:pPr>
        <w:pStyle w:val="ListBullet"/>
      </w:pPr>
      <w:r>
        <w:t>Open the synthetic prototype, caption setting, and annotated fallback screens.</w:t>
      </w:r>
    </w:p>
    <w:p>
      <w:pPr>
        <w:pStyle w:val="ListBullet"/>
      </w:pPr>
      <w:r>
        <w:t>Confirm participant code only; do not record names, employer details, or client information.</w:t>
      </w:r>
    </w:p>
    <w:p>
      <w:pPr>
        <w:pStyle w:val="ListBullet"/>
      </w:pPr>
      <w:r>
        <w:t>Confirm accommodation and recording preference before capture begins.</w:t>
      </w:r>
    </w:p>
    <w:p>
      <w:pPr>
        <w:pStyle w:val="Heading1"/>
      </w:pPr>
      <w:r>
        <w:t>Opening script</w:t>
      </w:r>
    </w:p>
    <w:p>
      <w:r>
        <w:t>“Thank you for joining. Today we are testing an early prototype, not you. You may skip any question, pause, or stop. Please avoid sharing confidential or personal information. May I confirm your recording preference and the support that will make this session comfortable?”</w:t>
      </w:r>
    </w:p>
    <w:p>
      <w:pPr>
        <w:pStyle w:val="Heading1"/>
      </w:pPr>
      <w:r>
        <w:t>Session flow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Minute</w:t>
            </w:r>
          </w:p>
        </w:tc>
        <w:tc>
          <w:tcPr>
            <w:tcW w:type="dxa" w:w="2304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Activity</w:t>
            </w:r>
          </w:p>
        </w:tc>
        <w:tc>
          <w:tcPr>
            <w:tcW w:type="dxa" w:w="6048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Moderator cue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0-8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Consent and accessibility</w:t>
            </w:r>
          </w:p>
        </w:tc>
        <w:tc>
          <w:tcPr>
            <w:tcW w:type="dxa" w:w="604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Confirm choice, captions, breaks, no-camera option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8-15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Current practice</w:t>
            </w:r>
          </w:p>
        </w:tc>
        <w:tc>
          <w:tcPr>
            <w:tcW w:type="dxa" w:w="604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Ask about a typical fictionalized note workflow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15-45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Prototype tasks</w:t>
            </w:r>
          </w:p>
        </w:tc>
        <w:tc>
          <w:tcPr>
            <w:tcW w:type="dxa" w:w="604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Use task script; allow recovery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45-55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Reflection</w:t>
            </w:r>
          </w:p>
        </w:tc>
        <w:tc>
          <w:tcPr>
            <w:tcW w:type="dxa" w:w="604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Ask what felt certain or uncertain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55-60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Close</w:t>
            </w:r>
          </w:p>
        </w:tc>
        <w:tc>
          <w:tcPr>
            <w:tcW w:type="dxa" w:w="604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Confirm no follow-up promise; thank participant</w:t>
            </w:r>
          </w:p>
        </w:tc>
      </w:tr>
    </w:tbl>
    <w:p/>
    <w:p>
      <w:pPr>
        <w:pStyle w:val="Heading1"/>
      </w:pPr>
      <w:r>
        <w:t>Neutral probes</w:t>
      </w:r>
    </w:p>
    <w:p>
      <w:pPr>
        <w:pStyle w:val="ListBullet"/>
      </w:pPr>
      <w:r>
        <w:t>“What are you expecting to happen here?”</w:t>
      </w:r>
    </w:p>
    <w:p>
      <w:pPr>
        <w:pStyle w:val="ListBullet"/>
      </w:pPr>
      <w:r>
        <w:t>“What tells you that?”</w:t>
      </w:r>
    </w:p>
    <w:p>
      <w:pPr>
        <w:pStyle w:val="ListBullet"/>
      </w:pPr>
      <w:r>
        <w:t>“What would you look for next?”</w:t>
      </w:r>
    </w:p>
    <w:p>
      <w:pPr>
        <w:pStyle w:val="ListBullet"/>
      </w:pPr>
      <w:r>
        <w:t>“Would you like a pause or a different way to continue?”</w:t>
      </w:r>
    </w:p>
    <w:p>
      <w:pPr>
        <w:pStyle w:val="Heading1"/>
      </w:pPr>
      <w:r>
        <w:t>Facilitation boundaries</w:t>
      </w:r>
    </w:p>
    <w:p>
      <w:r>
        <w:t>Do not teach the interface, name the intended control, or convert a workaround into a pass. If a connection or prototype fault prevents a fair attempt, label the task interrupted. Redirect accidental sensitive disclosure and redact it from notes.</w:t>
      </w:r>
    </w:p>
    <w:p>
      <w:pPr>
        <w:pStyle w:val="Heading1"/>
      </w:pPr>
      <w:r>
        <w:t>Closing script</w:t>
      </w:r>
    </w:p>
    <w:p>
      <w:r>
        <w:t>“That completes the prototype portion. What would make this workflow clearer or safer to use? Thank you - your feedback will be synthesized with other coded sessions.”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Internal planning - synthetic data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A5A5A"/>
        <w:sz w:val="16"/>
      </w:rPr>
      <w:t>BEACON FIELD RESEARCH  |  STUDY BETA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