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Async handoff playbook</w:t>
      </w:r>
    </w:p>
    <w:p>
      <w:r>
        <w:t>Aster Loop K.K. | Product Alpha R7 | 2026-07-13 | p95 184 ms | ADR-042</w:t>
      </w:r>
    </w:p>
    <w:p>
      <w:pPr>
        <w:pStyle w:val="Heading1"/>
      </w:pPr>
      <w:r>
        <w:t>Handoff update template</w:t>
      </w:r>
    </w:p>
    <w:p>
      <w:r>
        <w:t>State the outcome, p95 observation, approval state, active risk, owner role, and next review point.</w:t>
      </w:r>
    </w:p>
    <w:p>
      <w:pPr>
        <w:pStyle w:val="Heading1"/>
      </w:pPr>
      <w:r>
        <w:t>Escalation criteria</w:t>
      </w:r>
    </w:p>
    <w:p>
      <w:r>
        <w:t>Escalate a p95 breach, missing approval transition, duplicate event anomaly, or unclassified timeout to the Platform Release Owner.</w:t>
      </w:r>
    </w:p>
    <w:p>
      <w:pPr>
        <w:pStyle w:val="Heading1"/>
      </w:pPr>
      <w:r>
        <w:t>Example</w:t>
      </w:r>
    </w:p>
    <w:p>
      <w:r>
        <w:t>Gate fixture completed; p95 control-plane observation is 184 ms; release awaits ADR-042 approval; next step is event reconciliation.</w:t>
      </w:r>
    </w:p>
    <w:p>
      <w:pPr>
        <w:pStyle w:val="Heading1"/>
      </w:pPr>
      <w:r>
        <w:t>Follow-up</w:t>
      </w:r>
    </w:p>
    <w:p>
      <w:r>
        <w:t>Preserve request IDs, record the status transition, and state whether the release window was expanded, paused, or 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Signal</w:t>
            </w:r>
          </w:p>
        </w:tc>
        <w:tc>
          <w:tcPr>
            <w:tcW w:type="dxa" w:w="4824"/>
          </w:tcPr>
          <w:p>
            <w:r>
              <w:t>Handoff action</w:t>
            </w:r>
          </w:p>
        </w:tc>
      </w:tr>
      <w:tr>
        <w:tc>
          <w:tcPr>
            <w:tcW w:type="dxa" w:w="4824"/>
          </w:tcPr>
          <w:p>
            <w:r>
              <w:t>Awaiting approval</w:t>
            </w:r>
          </w:p>
        </w:tc>
        <w:tc>
          <w:tcPr>
            <w:tcW w:type="dxa" w:w="4824"/>
          </w:tcPr>
          <w:p>
            <w:r>
              <w:t>Confirm owner and timer</w:t>
            </w:r>
          </w:p>
        </w:tc>
      </w:tr>
      <w:tr>
        <w:tc>
          <w:tcPr>
            <w:tcW w:type="dxa" w:w="4824"/>
          </w:tcPr>
          <w:p>
            <w:r>
              <w:t>p95 above 184 ms</w:t>
            </w:r>
          </w:p>
        </w:tc>
        <w:tc>
          <w:tcPr>
            <w:tcW w:type="dxa" w:w="4824"/>
          </w:tcPr>
          <w:p>
            <w:r>
              <w:t>Pause expansion and attach evidence</w:t>
            </w:r>
          </w:p>
        </w:tc>
      </w:tr>
      <w:tr>
        <w:tc>
          <w:tcPr>
            <w:tcW w:type="dxa" w:w="4824"/>
          </w:tcPr>
          <w:p>
            <w:r>
              <w:t>Completed</w:t>
            </w:r>
          </w:p>
        </w:tc>
        <w:tc>
          <w:tcPr>
            <w:tcW w:type="dxa" w:w="4824"/>
          </w:tcPr>
          <w:p>
            <w:r>
              <w:t>Publish synthetic status summary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