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6"/>
        </w:rPr>
        <w:t>DECISION MEMO</w:t>
      </w:r>
    </w:p>
    <w:p>
      <w:r>
        <w:t>ADR-042 - Asynchronous release gate for Product Alpha R7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Record</w:t>
            </w:r>
          </w:p>
        </w:tc>
      </w:tr>
      <w:tr>
        <w:tc>
          <w:tcPr>
            <w:tcW w:type="dxa" w:w="4680"/>
          </w:tcPr>
          <w:p>
            <w:r>
              <w:t>Organization</w:t>
            </w:r>
          </w:p>
        </w:tc>
        <w:tc>
          <w:tcPr>
            <w:tcW w:type="dxa" w:w="4680"/>
          </w:tcPr>
          <w:p>
            <w:r>
              <w:t>Aster Loop 株式会社</w:t>
            </w:r>
          </w:p>
        </w:tc>
      </w:tr>
      <w:tr>
        <w:tc>
          <w:tcPr>
            <w:tcW w:type="dxa" w:w="4680"/>
          </w:tcPr>
          <w:p>
            <w:r>
              <w:t>Release</w:t>
            </w:r>
          </w:p>
        </w:tc>
        <w:tc>
          <w:tcPr>
            <w:tcW w:type="dxa" w:w="4680"/>
          </w:tcPr>
          <w:p>
            <w:r>
              <w:t>Product Alpha R7 / 2026-07-13</w:t>
            </w:r>
          </w:p>
        </w:tc>
      </w:tr>
      <w:tr>
        <w:tc>
          <w:tcPr>
            <w:tcW w:type="dxa" w:w="4680"/>
          </w:tcPr>
          <w:p>
            <w:r>
              <w:t>Performance</w:t>
            </w:r>
          </w:p>
        </w:tc>
        <w:tc>
          <w:tcPr>
            <w:tcW w:type="dxa" w:w="4680"/>
          </w:tcPr>
          <w:p>
            <w:r>
              <w:t>p95 184 ms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Accepted</w:t>
            </w:r>
          </w:p>
        </w:tc>
      </w:tr>
    </w:tbl>
    <w:p>
      <w:pPr>
        <w:pStyle w:val="Heading1"/>
      </w:pPr>
      <w:r>
        <w:t>Recommendation</w:t>
      </w:r>
    </w:p>
    <w:p>
      <w:r>
        <w:t>Approve durable asynchronous admission. The edge returns a release ticket only after the coordinator persists the admission record.</w:t>
      </w:r>
    </w:p>
    <w:p>
      <w:pPr>
        <w:pStyle w:val="Heading1"/>
      </w:pPr>
      <w:r>
        <w:t>Evidence and operating limits</w:t>
      </w:r>
    </w:p>
    <w:p>
      <w:r>
        <w:t>Synthetic R7 p95 is 184 ms: edge 28, validation 32, admission 46, publish 24, observability 18, and reserve 36. Disable the async route above 184 ms for 10 minutes, errors above 0.2%, or schema incompatibility.</w:t>
      </w:r>
    </w:p>
    <w:p>
      <w:pPr>
        <w:pStyle w:val="Heading1"/>
      </w:pPr>
      <w:r>
        <w:t>Decision boundary</w:t>
      </w:r>
    </w:p>
    <w:p>
      <w:r>
        <w:t>Release Engineering owns legal state transitions. Clients own release intent and idempotency keys. Observability is evidence-only and cannot approve a release.</w:t>
      </w:r>
    </w:p>
    <w:p>
      <w:r>
        <w:br w:type="page"/>
      </w:r>
    </w:p>
    <w:p>
      <w:pPr>
        <w:pStyle w:val="Heading1"/>
      </w:pPr>
      <w:r>
        <w:t>Alternatives and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Option</w:t>
            </w:r>
          </w:p>
        </w:tc>
        <w:tc>
          <w:tcPr>
            <w:tcW w:type="dxa" w:w="3120"/>
          </w:tcPr>
          <w:p>
            <w:r>
              <w:t>Outcome</w:t>
            </w:r>
          </w:p>
        </w:tc>
        <w:tc>
          <w:tcPr>
            <w:tcW w:type="dxa" w:w="3120"/>
          </w:tcPr>
          <w:p>
            <w:r>
              <w:t>Decision</w:t>
            </w:r>
          </w:p>
        </w:tc>
      </w:tr>
      <w:tr>
        <w:tc>
          <w:tcPr>
            <w:tcW w:type="dxa" w:w="3120"/>
          </w:tcPr>
          <w:p>
            <w:r>
              <w:t>Synchronous gate</w:t>
            </w:r>
          </w:p>
        </w:tc>
        <w:tc>
          <w:tcPr>
            <w:tcW w:type="dxa" w:w="3120"/>
          </w:tcPr>
          <w:p>
            <w:r>
              <w:t>Tail-coupled request path</w:t>
            </w:r>
          </w:p>
        </w:tc>
        <w:tc>
          <w:tcPr>
            <w:tcW w:type="dxa" w:w="3120"/>
          </w:tcPr>
          <w:p>
            <w:r>
              <w:t>Rejected</w:t>
            </w:r>
          </w:p>
        </w:tc>
      </w:tr>
      <w:tr>
        <w:tc>
          <w:tcPr>
            <w:tcW w:type="dxa" w:w="3120"/>
          </w:tcPr>
          <w:p>
            <w:r>
              <w:t>Client retry coordinator</w:t>
            </w:r>
          </w:p>
        </w:tc>
        <w:tc>
          <w:tcPr>
            <w:tcW w:type="dxa" w:w="3120"/>
          </w:tcPr>
          <w:p>
            <w:r>
              <w:t>Ambiguous ownership</w:t>
            </w:r>
          </w:p>
        </w:tc>
        <w:tc>
          <w:tcPr>
            <w:tcW w:type="dxa" w:w="3120"/>
          </w:tcPr>
          <w:p>
            <w:r>
              <w:t>Rejected</w:t>
            </w:r>
          </w:p>
        </w:tc>
      </w:tr>
      <w:tr>
        <w:tc>
          <w:tcPr>
            <w:tcW w:type="dxa" w:w="3120"/>
          </w:tcPr>
          <w:p>
            <w:r>
              <w:t>Fire-and-forget</w:t>
            </w:r>
          </w:p>
        </w:tc>
        <w:tc>
          <w:tcPr>
            <w:tcW w:type="dxa" w:w="3120"/>
          </w:tcPr>
          <w:p>
            <w:r>
              <w:t>No durable decision</w:t>
            </w:r>
          </w:p>
        </w:tc>
        <w:tc>
          <w:tcPr>
            <w:tcW w:type="dxa" w:w="3120"/>
          </w:tcPr>
          <w:p>
            <w:r>
              <w:t>Rejected</w:t>
            </w:r>
          </w:p>
        </w:tc>
      </w:tr>
      <w:tr>
        <w:tc>
          <w:tcPr>
            <w:tcW w:type="dxa" w:w="3120"/>
          </w:tcPr>
          <w:p>
            <w:r>
              <w:t>ADR-042 durable admission</w:t>
            </w:r>
          </w:p>
        </w:tc>
        <w:tc>
          <w:tcPr>
            <w:tcW w:type="dxa" w:w="3120"/>
          </w:tcPr>
          <w:p>
            <w:r>
              <w:t>Typed, replayable ticket</w:t>
            </w:r>
          </w:p>
        </w:tc>
        <w:tc>
          <w:tcPr>
            <w:tcW w:type="dxa" w:w="3120"/>
          </w:tcPr>
          <w:p>
            <w:r>
              <w:t>Accepted</w:t>
            </w:r>
          </w:p>
        </w:tc>
      </w:tr>
    </w:tbl>
    <w:p>
      <w:pPr>
        <w:pStyle w:val="Heading1"/>
      </w:pPr>
      <w:r>
        <w:t>Rollout and rollback</w:t>
      </w:r>
    </w:p>
    <w:p>
      <w:r>
        <w:t>Shadow evaluation precedes 10%, 50%, and 100% exposure. The flags are async_release_gate, async_gate_shadow, and sync_release_gate. Rollback changes routing only and never rewrites an already-durable decision.</w:t>
      </w:r>
    </w:p>
    <w:p>
      <w:pPr>
        <w:pStyle w:val="Heading1"/>
      </w:pPr>
      <w:r>
        <w:t>Verification</w:t>
      </w:r>
    </w:p>
    <w:p>
      <w:r>
        <w:t>Confirm queue drain, legal state transitions, expected event version, schema guard result, and legacy-path canary. Stop rollout when any trigger remains active.</w:t>
      </w:r>
    </w:p>
    <w:p>
      <w:pPr>
        <w:pStyle w:val="Heading1"/>
      </w:pPr>
      <w:r>
        <w:t>Synthetic role sign-off</w:t>
      </w:r>
    </w:p>
    <w:p>
      <w:r>
        <w:t>Software Engineering accepted typed states. Release Engineering accepted stop conditions. Platform accepted with deterministic compatibility guard.</w:t>
      </w:r>
    </w:p>
    <w:p>
      <w:pPr>
        <w:pStyle w:val="Heading1"/>
      </w:pPr>
      <w:r>
        <w:t>Anchor record</w:t>
      </w:r>
    </w:p>
    <w:p>
      <w:r>
        <w:t>Aster Loop 株式会社 | Product Alpha R7 | 2026-07-13 | p95 184 ms | ADR-042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Gothic" w:hAnsi="Yu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