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6"/>
        </w:rPr>
        <w:t>ARCHITECTURE DECISIONS MEMO</w:t>
      </w:r>
    </w:p>
    <w:p>
      <w:r>
        <w:t>Aster Loop 株式会社 | Product Alpha R7 | release 2026-07-13 | p95 184 ms | ADR-042</w:t>
      </w:r>
    </w:p>
    <w:p>
      <w:pPr>
        <w:pStyle w:val="Heading1"/>
      </w:pPr>
      <w:r>
        <w:t>Decisions</w:t>
      </w:r>
    </w:p>
    <w:p>
      <w:r>
        <w:t>Accept ADR-042 durable asynchronous admission and versioned v1 events.</w:t>
      </w:r>
    </w:p>
    <w:p>
      <w:pPr>
        <w:pStyle w:val="Heading1"/>
      </w:pPr>
      <w:r>
        <w:t>Rationale</w:t>
      </w:r>
    </w:p>
    <w:p>
      <w:r>
        <w:t>A durable ticket separates client latency from policy completion and gives a replayable boundary.</w:t>
      </w:r>
    </w:p>
    <w:p>
      <w:pPr>
        <w:pStyle w:val="Heading1"/>
      </w:pPr>
      <w:r>
        <w:t>Actions</w:t>
      </w:r>
    </w:p>
    <w:p>
      <w:r>
        <w:t>Software Engineering adds tests; Platform runs schema guard; Release Engineering rehearses canary.</w:t>
      </w:r>
    </w:p>
    <w:p>
      <w:r>
        <w:br w:type="page"/>
      </w:r>
    </w:p>
    <w:p>
      <w:pPr>
        <w:pStyle w:val="Heading1"/>
      </w:pPr>
      <w:r>
        <w:t>Open items</w:t>
      </w:r>
    </w:p>
    <w:p>
      <w:r>
        <w:t>Validate compatibility guard during shadow window and confirm dashboard ownership.</w:t>
      </w:r>
    </w:p>
    <w:p>
      <w:pPr>
        <w:pStyle w:val="Heading1"/>
      </w:pPr>
      <w:r>
        <w:t>Rollback</w:t>
      </w:r>
    </w:p>
    <w:p>
      <w:r>
        <w:t>Disable async routing, retain durable decisions, verify Alpha canary, and record evidence.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