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ADR-042: Asynchronous release gate</w:t>
      </w:r>
    </w:p>
    <w:p>
      <w:pPr>
        <w:pStyle w:val="Subtitle"/>
      </w:pPr>
      <w:r>
        <w:t>Accepted decision | Aster Loop K.K. | Product Alpha R7 | Release 2026-07-13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DCECF7"/>
            <w:vAlign w:val="center"/>
          </w:tcPr>
          <w:p>
            <w:r>
              <w:t>DECISION  —  Release requests enter an explicit approval gate before any asynchronous execution. The control plane targets p95 184 ms.</w:t>
            </w:r>
          </w:p>
        </w:tc>
      </w:tr>
    </w:tbl>
    <w:p>
      <w:pPr>
        <w:pStyle w:val="Heading1"/>
      </w:pPr>
      <w:r>
        <w:t>Context</w:t>
      </w:r>
    </w:p>
    <w:p>
      <w:r>
        <w:t>Product Alpha R7 requires a clear separation between a validated request and execution. A synchronous approval exchange risks breaching the control-plane latency budget and obscures release accountability.</w:t>
      </w:r>
    </w:p>
    <w:p>
      <w:pPr>
        <w:pStyle w:val="Heading1"/>
      </w:pPr>
      <w:r>
        <w:t>Decision</w:t>
      </w:r>
    </w:p>
    <w:p>
      <w:r>
        <w:t>ADR-042 records a release as awaiting approval after validation. An approval event transitions it to approved; only then may a worker execute the release. Request IDs correlate API and event records, while idempotency protects against duplicate create requests.</w:t>
      </w:r>
    </w:p>
    <w:p>
      <w:pPr>
        <w:pStyle w:val="Heading1"/>
      </w:pPr>
      <w:r>
        <w:t>Alternatives considered</w:t>
      </w:r>
    </w:p>
    <w:p>
      <w:pPr>
        <w:pStyle w:val="ListBullet"/>
      </w:pPr>
      <w:r>
        <w:t>Synchronous approval before API response — rejected because approval time is not compatible with the 184 ms control-plane budget.</w:t>
      </w:r>
    </w:p>
    <w:p>
      <w:pPr>
        <w:pStyle w:val="ListBullet"/>
      </w:pPr>
      <w:r>
        <w:t>Worker-side implicit approval — rejected because it hides the authorization boundary.</w:t>
      </w:r>
    </w:p>
    <w:p>
      <w:pPr>
        <w:pStyle w:val="ListBullet"/>
      </w:pPr>
      <w:r>
        <w:t>Manual release without a state model — rejected because it cannot provide reliable status or audit correlation.</w:t>
      </w:r>
    </w:p>
    <w:p>
      <w:pPr>
        <w:pStyle w:val="Heading1"/>
      </w:pPr>
      <w:r>
        <w:t>Consequences</w:t>
      </w:r>
    </w:p>
    <w:p>
      <w:r>
        <w:t>Clients receive an accepted state and poll or consume events for progress. Failures have a named state and a request ID. Beta cancellation remains available only before the approval decision. ADR-039 measures the budget; ADR-040 governs event evolution; ADR-041 limits preview flags.</w:t>
      </w:r>
    </w:p>
    <w:p>
      <w:pPr>
        <w:pStyle w:val="Heading1"/>
      </w:pPr>
      <w:r>
        <w:t>Sign-off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7324D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4824"/>
            <w:shd w:fill="17324D"/>
          </w:tcPr>
          <w:p>
            <w:r>
              <w:rPr>
                <w:b/>
                <w:color w:val="FFFFFF"/>
              </w:rPr>
              <w:t>Responsibility</w:t>
            </w:r>
          </w:p>
        </w:tc>
      </w:tr>
      <w:tr>
        <w:tc>
          <w:tcPr>
            <w:tcW w:type="dxa" w:w="4824"/>
          </w:tcPr>
          <w:p>
            <w:r>
              <w:t>Platform Release Owner</w:t>
            </w:r>
          </w:p>
        </w:tc>
        <w:tc>
          <w:tcPr>
            <w:tcW w:type="dxa" w:w="4824"/>
          </w:tcPr>
          <w:p>
            <w:r>
              <w:t>Owns gate rollout and release-window decision</w:t>
            </w:r>
          </w:p>
        </w:tc>
      </w:tr>
      <w:tr>
        <w:tc>
          <w:tcPr>
            <w:tcW w:type="dxa" w:w="4824"/>
          </w:tcPr>
          <w:p>
            <w:r>
              <w:t>Platform Performance Owner</w:t>
            </w:r>
          </w:p>
        </w:tc>
        <w:tc>
          <w:tcPr>
            <w:tcW w:type="dxa" w:w="4824"/>
          </w:tcPr>
          <w:p>
            <w:r>
              <w:t>Reviews p95 measurement evidence</w:t>
            </w:r>
          </w:p>
        </w:tc>
      </w:tr>
      <w:tr>
        <w:tc>
          <w:tcPr>
            <w:tcW w:type="dxa" w:w="4824"/>
          </w:tcPr>
          <w:p>
            <w:r>
              <w:t>Event Contract Owner</w:t>
            </w:r>
          </w:p>
        </w:tc>
        <w:tc>
          <w:tcPr>
            <w:tcW w:type="dxa" w:w="4824"/>
          </w:tcPr>
          <w:p>
            <w:r>
              <w:t>Maintains compatibility and deprecation notice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Product Alpha R7  •  Internal decision record  •  2026-07-13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ASTER LOOP K.K.  |  ARCHITECTURE DECISION RECORD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D5D9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D5D9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24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