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 w:val="false"/>
          <w:bCs w:val="false"/>
        </w:rPr>
      </w:pPr>
      <w:r>
        <w:rPr>
          <w:rFonts w:cs="Calibri" w:cstheme="minorHAnsi"/>
          <w:b w:val="false"/>
          <w:bCs w:val="false"/>
          <w:sz w:val="28"/>
          <w:szCs w:val="24"/>
        </w:rPr>
        <w:t>Практическая работа №4</w:t>
      </w:r>
    </w:p>
    <w:p>
      <w:pPr>
        <w:pStyle w:val="Normal"/>
        <w:rPr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Задание 1.</w:t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/>
        <w:drawing>
          <wp:inline distT="0" distB="0" distL="0" distR="0">
            <wp:extent cx="6645910" cy="47904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/>
        <w:drawing>
          <wp:inline distT="0" distB="0" distL="0" distR="0">
            <wp:extent cx="4541520" cy="41719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Конфигурация домашнего ПК.</w:t>
      </w:r>
    </w:p>
    <w:tbl>
      <w:tblPr>
        <w:tblStyle w:val="a3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5104"/>
        <w:gridCol w:w="4507"/>
      </w:tblGrid>
      <w:tr>
        <w:trPr/>
        <w:tc>
          <w:tcPr>
            <w:tcW w:w="8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2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2"/>
                <w:sz w:val="24"/>
                <w:szCs w:val="24"/>
                <w:lang w:val="ru-RU" w:eastAsia="en-US" w:bidi="ar-SA"/>
              </w:rPr>
              <w:t>Наименование параметра</w:t>
            </w:r>
          </w:p>
        </w:tc>
        <w:tc>
          <w:tcPr>
            <w:tcW w:w="45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2"/>
                <w:sz w:val="24"/>
                <w:szCs w:val="24"/>
                <w:lang w:val="ru-RU" w:eastAsia="en-US" w:bidi="ar-SA"/>
              </w:rPr>
              <w:t>Значение параметра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Тип и модель монитора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 xml:space="preserve">1.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Встроенный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2.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Samsung LS24R35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Форм-фактор корпуса системного блока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Ультрабук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Клавиатура, интерфейс подключения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 xml:space="preserve">1.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Встроенная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2. DEXP Tanto Rainbow, USB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 3.0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Вид манипулятора "мыши", интерфейс ее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подключения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Оптический,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 3.0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Интерфейсы подключения периферийных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устройств на задней панели системного блока</w:t>
            </w:r>
          </w:p>
        </w:tc>
        <w:tc>
          <w:tcPr>
            <w:tcW w:w="45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На корпусе ноутбука: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HDMI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 –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 3.0 –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Type-C –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Style w:val="Hgkelc"/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Jack - 1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Интерфейсы подключения периферийных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устройств на лицевой панели системного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блока</w:t>
            </w:r>
          </w:p>
        </w:tc>
        <w:tc>
          <w:tcPr>
            <w:tcW w:w="45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Процессор, модель и тактовая частота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Intel(R) Core(TM) i7-1065G7 @ 1.30GHz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Объем оперативной памяти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 xml:space="preserve">16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ГБ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Тип сетевого интерфейса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Wi-Fi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Наименование и скорость привода для чтения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оптических дисков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Модель и объем памяти накопителя 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жестких магнитных дисках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 xml:space="preserve">Acer SSD NVMe 1000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ГБ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Видеоадаптер, модель и объем видеопамяти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1. Intel(R) Iris(R) Plus Graphics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 xml:space="preserve">2. NVIDIA GeForce MX350 2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ГБ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Модель звукового адаптера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NVIDIA Virtual Audio Device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14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Версия операционной системы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Windows 11 21H2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Другие периферийные устройства (принтер,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сканер и т.д.)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Принтер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 xml:space="preserve"> Epson ESC/P-R V4 Class Driver</w:t>
            </w:r>
          </w:p>
        </w:tc>
      </w:tr>
    </w:tbl>
    <w:p>
      <w:pPr>
        <w:pStyle w:val="Normal"/>
        <w:rPr>
          <w:rFonts w:cs="Calibri" w:cstheme="minorHAnsi"/>
          <w:b/>
          <w:bCs/>
          <w:sz w:val="24"/>
          <w:szCs w:val="24"/>
          <w:lang w:val="en-US"/>
        </w:rPr>
      </w:pPr>
      <w:r>
        <w:rPr>
          <w:rFonts w:cs="Calibri" w:cstheme="minorHAnsi"/>
          <w:b/>
          <w:bCs/>
          <w:sz w:val="24"/>
          <w:szCs w:val="24"/>
          <w:lang w:val="en-US"/>
        </w:rPr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  <w:r>
        <w:br w:type="page"/>
      </w:r>
    </w:p>
    <w:p>
      <w:pPr>
        <w:pStyle w:val="Normal"/>
        <w:spacing w:before="0" w:after="160"/>
        <w:rPr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Задание 2.</w:t>
      </w:r>
    </w:p>
    <w:p>
      <w:pPr>
        <w:pStyle w:val="Normal"/>
        <w:rPr>
          <w:rFonts w:cs="Calibri" w:cstheme="minorHAnsi"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4679950" cy="44767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4648200" cy="2973070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4658995" cy="1533525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5104"/>
        <w:gridCol w:w="4507"/>
      </w:tblGrid>
      <w:tr>
        <w:trPr/>
        <w:tc>
          <w:tcPr>
            <w:tcW w:w="8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2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2"/>
                <w:sz w:val="24"/>
                <w:szCs w:val="24"/>
                <w:lang w:val="ru-RU" w:eastAsia="en-US" w:bidi="ar-SA"/>
              </w:rPr>
              <w:t>Наименование параметра</w:t>
            </w:r>
          </w:p>
        </w:tc>
        <w:tc>
          <w:tcPr>
            <w:tcW w:w="45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2"/>
                <w:sz w:val="24"/>
                <w:szCs w:val="24"/>
                <w:lang w:val="ru-RU" w:eastAsia="en-US" w:bidi="ar-SA"/>
              </w:rPr>
              <w:t>Значение параметра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Тип и модель монитора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Монитор DEXP DF22N1 серебристый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Форм-фактор корпуса системного блока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Mini-Tower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Клавиатура, интерфейс подключения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Клавиатура проводная Aceline K-201BU,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 2.0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Вид манипулятора "мыши", интерфейс ее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подключения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Оптический,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 2.0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Интерфейсы подключения периферийных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устройств на задней панели системного блока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 3.0 –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 2.0 –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HDMI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 –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VGA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 –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Сетевой порт </w:t>
            </w:r>
            <w:r>
              <w:rPr>
                <w:rFonts w:eastAsia="Calibri" w:cs="Calibri" w:cstheme="minorHAnsi"/>
                <w:color w:val="333333"/>
                <w:kern w:val="2"/>
                <w:sz w:val="24"/>
                <w:szCs w:val="24"/>
                <w:shd w:fill="FFFFFF" w:val="clear"/>
                <w:lang w:val="ru-RU" w:eastAsia="en-US" w:bidi="ar-SA"/>
              </w:rPr>
              <w:t>RJ-45 –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333333"/>
                <w:sz w:val="24"/>
                <w:szCs w:val="24"/>
                <w:shd w:fill="FFFFFF" w:val="clear"/>
              </w:rPr>
            </w:pPr>
            <w:r>
              <w:rPr>
                <w:rFonts w:eastAsia="Calibri" w:cs="Calibri" w:cstheme="minorHAnsi"/>
                <w:color w:val="333333"/>
                <w:kern w:val="2"/>
                <w:sz w:val="24"/>
                <w:szCs w:val="24"/>
                <w:shd w:fill="FFFFFF" w:val="clear"/>
                <w:lang w:val="ru-RU" w:eastAsia="en-US" w:bidi="ar-SA"/>
              </w:rPr>
              <w:t>Аналоговые аудиоразъемы – 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PS/2 (клавиатура), PS/2 (мышь)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Интерфейсы подключения периферийных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устройств на лицевой панели системного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блока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USB 2.0 –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Jack - 2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Процессор, модель и тактовая частота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Intel Core i7-10700 OEM, 2.9 ГГц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Объем оперативной памяти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 xml:space="preserve">8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ГБ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Тип сетевого интерфейса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Сетевой кабель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Наименование и скорость привода для чтения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оптических дисков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Модель и объем памяти накопителя 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жестких магнитных дисках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120 ГБ 2.5" SATA накопитель AGI AI138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Видеоадаптер, модель и объем видеопамяти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KFA2 GeForce 210 1 ГБ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Модель звукового адаптера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DEXP 3D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14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Версия операционной системы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Windows 11 Pro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Другие периферийные устройства (принтер,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сканер и т.д.)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-</w:t>
            </w:r>
          </w:p>
        </w:tc>
      </w:tr>
    </w:tbl>
    <w:p>
      <w:pPr>
        <w:pStyle w:val="Normal"/>
        <w:rPr>
          <w:rFonts w:cs="Calibri" w:cstheme="minorHAnsi"/>
          <w:bCs/>
          <w:sz w:val="24"/>
          <w:szCs w:val="24"/>
          <w:lang w:val="en-US"/>
        </w:rPr>
      </w:pPr>
      <w:r>
        <w:rPr>
          <w:rFonts w:cs="Calibri" w:cstheme="minorHAnsi"/>
          <w:bCs/>
          <w:sz w:val="24"/>
          <w:szCs w:val="24"/>
          <w:lang w:val="en-US"/>
        </w:rPr>
      </w:r>
    </w:p>
    <w:p>
      <w:pPr>
        <w:pStyle w:val="Normal"/>
        <w:rPr>
          <w:rFonts w:cs="Calibri" w:cstheme="minorHAnsi"/>
          <w:bCs/>
          <w:sz w:val="24"/>
          <w:szCs w:val="24"/>
          <w:lang w:val="en-US"/>
        </w:rPr>
      </w:pPr>
      <w:r>
        <w:rPr>
          <w:rFonts w:cs="Calibri" w:cstheme="minorHAnsi"/>
          <w:bCs/>
          <w:sz w:val="24"/>
          <w:szCs w:val="24"/>
          <w:lang w:val="en-US"/>
        </w:rPr>
      </w:r>
      <w:r>
        <w:br w:type="page"/>
      </w:r>
    </w:p>
    <w:p>
      <w:pPr>
        <w:pStyle w:val="Normal"/>
        <w:spacing w:before="0" w:after="160"/>
        <w:rPr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Задание 3.</w:t>
      </w:r>
    </w:p>
    <w:p>
      <w:pPr>
        <w:pStyle w:val="Normal"/>
        <w:rPr>
          <w:rFonts w:cs="Calibri" w:cstheme="minorHAnsi"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5767070" cy="5591175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5924550" cy="3683635"/>
            <wp:effectExtent l="0" t="0" r="0" b="0"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6645910" cy="2072640"/>
            <wp:effectExtent l="0" t="0" r="0" b="0"/>
            <wp:docPr id="8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5104"/>
        <w:gridCol w:w="4507"/>
      </w:tblGrid>
      <w:tr>
        <w:trPr/>
        <w:tc>
          <w:tcPr>
            <w:tcW w:w="8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2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2"/>
                <w:sz w:val="24"/>
                <w:szCs w:val="24"/>
                <w:lang w:val="ru-RU" w:eastAsia="en-US" w:bidi="ar-SA"/>
              </w:rPr>
              <w:t>Наименование параметра</w:t>
            </w:r>
          </w:p>
        </w:tc>
        <w:tc>
          <w:tcPr>
            <w:tcW w:w="45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2"/>
                <w:sz w:val="24"/>
                <w:szCs w:val="24"/>
                <w:lang w:val="ru-RU" w:eastAsia="en-US" w:bidi="ar-SA"/>
              </w:rPr>
              <w:t>Значение параметра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Тип и модель монитора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ASUS ProArt PA32UCX-PK черный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Форм-фактор корпуса системного блока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Full-Tower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Клавиатура, интерфейс подключения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Asus ROG Azoth, USB 3.0/Blue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Вид манипулятора "мыши", интерфейс ее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подключения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Оптический,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USB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 3.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/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Type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C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Интерфейсы подключения периферийных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устройств на задней панели системного блока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USB 2.0 – 2,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USB 3.2 Gen1 Type A – 2,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USB 3.2 Gen2 Type A – 1,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 xml:space="preserve">USB 3.2 Gen2 – 2,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Type-C – 1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Интерфейсы подключения периферийных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устройств на лицевой панели системного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блока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USB 3.0 –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Type C –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Jack - 2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Процессор, модель и тактовая частота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Intel Core i7-10700 OEM, 2.9 ГГц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Объем оперативной памяти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 xml:space="preserve">128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ГБ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Тип сетевого интерфейса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Сетевой кабель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Наименование и скорость привода для чтения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оптических дисков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Модель и объем памяти накопителя 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жестких магнитных дисках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4000 ГБ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SSD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M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.2 накопитель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WD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Red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SN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700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Видеоадаптер, модель и объем видеопамяти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 xml:space="preserve">PNY Quadro RTX A5000 24 </w:t>
            </w: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ГБ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Модель звукового адаптера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Внешняя звуковая карта Arturia Audiofuse Rev2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14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Версия операционной системы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en-US" w:eastAsia="en-US" w:bidi="ar-SA"/>
              </w:rPr>
              <w:t>Windows 11 Pro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Другие периферийные устройства (принтер,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сканер и т.д.)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2"/>
                <w:sz w:val="24"/>
                <w:szCs w:val="24"/>
                <w:lang w:val="ru-RU" w:eastAsia="en-US" w:bidi="ar-SA"/>
              </w:rPr>
              <w:t>-</w:t>
            </w:r>
          </w:p>
        </w:tc>
      </w:tr>
    </w:tbl>
    <w:p>
      <w:pPr>
        <w:pStyle w:val="Normal"/>
        <w:spacing w:before="0" w:after="16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08b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gkelc" w:customStyle="1">
    <w:name w:val="hgkelc"/>
    <w:basedOn w:val="DefaultParagraphFont"/>
    <w:qFormat/>
    <w:rsid w:val="005c46d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80a5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d31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LibreOffice/7.6.2.1$Windows_X86_64 LibreOffice_project/56f7684011345957bbf33a7ee678afaf4d2ba333</Application>
  <AppVersion>15.0000</AppVersion>
  <Pages>6</Pages>
  <Words>531</Words>
  <Characters>2954</Characters>
  <CharactersWithSpaces>3314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2023-10-19T14:11:00Z</dcterms:created>
  <dc:creator>Герасим Евдокимов</dc:creator>
  <dc:description/>
  <dc:language>en-US</dc:language>
  <cp:lastModifiedBy/>
  <dcterms:modified xsi:type="dcterms:W3CDTF">2023-11-04T22:36:18Z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