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drawing>
          <wp:inline distT="0" distB="0" distL="0" distR="0">
            <wp:extent cx="3429000" cy="1314450"/>
            <wp:effectExtent t="0" r="0" b="0" l="0"/>
            <wp:docPr id="1" name="thox-logo" descr="THOX.ai horizontal logo" title="THOX.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314450"/>
                    </a:xfrm>
                    <a:prstGeom prst="rect">
                      <a:avLst/>
                    </a:prstGeom>
                  </pic:spPr>
                </pic:pic>
              </a:graphicData>
            </a:graphic>
          </wp:inline>
        </w:drawing>
      </w:r>
    </w:p>
    <w:p>
      <w:pPr>
        <w:spacing w:after="60" w:before="240"/>
        <w:jc w:val="center"/>
      </w:pPr>
      <w:r>
        <w:rPr>
          <w:rFonts w:ascii="Calibri" w:cs="Calibri" w:eastAsia="Calibri" w:hAnsi="Calibri"/>
          <w:b/>
          <w:bCs/>
          <w:color w:val="059669"/>
          <w:spacing w:val="30"/>
          <w:sz w:val="22"/>
          <w:szCs w:val="22"/>
        </w:rPr>
        <w:t xml:space="preserve">INTERNAL REFERENCE DOCUMENT</w:t>
      </w:r>
    </w:p>
    <w:p>
      <w:pPr>
        <w:spacing w:after="40"/>
        <w:jc w:val="center"/>
      </w:pPr>
      <w:r>
        <w:rPr>
          <w:rFonts w:ascii="Calibri" w:cs="Calibri" w:eastAsia="Calibri" w:hAnsi="Calibri"/>
          <w:b/>
          <w:bCs/>
          <w:color w:val="000000"/>
          <w:sz w:val="44"/>
          <w:szCs w:val="44"/>
        </w:rPr>
        <w:t xml:space="preserve">THOX Experience Fabric (TXF)</w:t>
      </w:r>
    </w:p>
    <w:p>
      <w:pPr>
        <w:spacing w:after="280"/>
        <w:jc w:val="center"/>
      </w:pPr>
      <w:r>
        <w:rPr>
          <w:rFonts w:ascii="Calibri" w:cs="Calibri" w:eastAsia="Calibri" w:hAnsi="Calibri"/>
          <w:color w:val="4B5563"/>
          <w:sz w:val="28"/>
          <w:szCs w:val="28"/>
        </w:rPr>
        <w:t xml:space="preserve">UX Engine Integration and Repository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Classification</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Internal Use Only</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Owner</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THOX.ai Product Architecture Team</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Document Version</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1.0</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Companion Release</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v0.2.0</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Status</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Executive Review Draft</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Companion To</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Enterprise Standardization Program v1.0</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Planning Horizon</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2026 - 2028</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IP Reference</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IP-024 (THOX Experience Fabric). Status: NOT FILED.</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Inventors of Record</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Craig Ross, Phamy Xaypanya</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Companion Repository</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github.com/ttracx/thox-experience-fabric (private)</w:t>
            </w:r>
          </w:p>
        </w:tc>
      </w:tr>
      <w:tr>
        <w:tc>
          <w:tcPr>
            <w:tcW w:type="dxa" w:w="3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Issued</w:t>
            </w:r>
          </w:p>
        </w:tc>
        <w:tc>
          <w:tcPr>
            <w:tcW w:type="dxa" w:w="6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June 6, 2026</w:t>
            </w:r>
          </w:p>
        </w:tc>
      </w:tr>
    </w:tbl>
    <w:p>
      <w:pPr>
        <w:spacing w:before="280"/>
        <w:jc w:val="center"/>
      </w:pPr>
      <w:r>
        <w:rPr>
          <w:rFonts w:ascii="Calibri" w:cs="Calibri" w:eastAsia="Calibri" w:hAnsi="Calibri"/>
          <w:i/>
          <w:iCs/>
          <w:color w:val="6B7280"/>
          <w:sz w:val="18"/>
          <w:szCs w:val="18"/>
        </w:rPr>
        <w:t xml:space="preserve">Confidential. Do not distribute outside of THOX.ai executive, architecture, and engineering staff without written consent of the Executive Sponsor.</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rFonts w:ascii="Calibri" w:cs="Calibri" w:eastAsia="Calibri" w:hAnsi="Calibri"/>
          <w:i/>
          <w:iCs/>
          <w:color w:val="6B7280"/>
          <w:sz w:val="18"/>
          <w:szCs w:val="18"/>
        </w:rPr>
        <w:t xml:space="preserve">Right-click the entries below in Word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rPr>
          <w:rFonts w:ascii="Calibri" w:cs="Calibri" w:eastAsia="Calibri" w:hAnsi="Calibri"/>
          <w:color w:val="4B5563"/>
          <w:sz w:val="21"/>
          <w:szCs w:val="21"/>
        </w:rPr>
        <w:t xml:space="preserve">This document records the integration of the THOX UX engine into the THOX Experience Fabric repository and serves as the engineering reference for the combined system. It is the companion to the TXF Enterprise Standardization Program strategy document and assumes that context.</w:t>
      </w:r>
    </w:p>
    <w:p>
      <w:pPr>
        <w:spacing w:after="140" w:line="276"/>
      </w:pPr>
      <w:r>
        <w:rPr>
          <w:rFonts w:ascii="Calibri" w:cs="Calibri" w:eastAsia="Calibri" w:hAnsi="Calibri"/>
          <w:color w:val="4B5563"/>
          <w:sz w:val="21"/>
          <w:szCs w:val="21"/>
        </w:rPr>
        <w:t xml:space="preserve">The strategy document committed TXF to one promise: the hardware may change, the software may change, the experience must remain consistent. Enforcing that promise requires a single place where the look and behavior of every surface is defined, and a mechanical gate that rejects drift. Before this release the repository had neither. Token values lived in a flat file that nothing generated or verified, brand rules lived in prose, and the branding and accessibility validators self-attested through manifest booleans.</w:t>
      </w:r>
    </w:p>
    <w:p>
      <w:pPr>
        <w:spacing w:after="140" w:line="276"/>
      </w:pPr>
      <w:r>
        <w:rPr>
          <w:rFonts w:ascii="Calibri" w:cs="Calibri" w:eastAsia="Calibri" w:hAnsi="Calibri"/>
          <w:color w:val="4B5563"/>
          <w:sz w:val="21"/>
          <w:szCs w:val="21"/>
        </w:rPr>
        <w:t xml:space="preserve">This release closes that gap. The UX engine at tools/ux-engine becomes the single source of truth for design tokens. It compiles one authored token tree to every platform and to the TXF runtime bundle, and it runs four mechanical gates plus a token drift gate on every pull request. The consumed token file is now generated, value-preserving, and impossible to hand-edit out of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8"/>
              <w:bottom w:val="single" w:color="10B981" w:sz="4"/>
              <w:right w:val="single" w:color="10B981" w:sz="4"/>
            </w:tcBorders>
            <w:shd w:fill="ECFDF5" w:val="clear"/>
            <w:tcMar>
              <w:top w:type="dxa" w:w="120"/>
              <w:left w:type="dxa" w:w="180"/>
              <w:bottom w:type="dxa" w:w="120"/>
              <w:right w:type="dxa" w:w="180"/>
            </w:tcMar>
          </w:tcPr>
          <w:p>
            <w:pPr>
              <w:spacing w:after="0"/>
            </w:pPr>
            <w:r>
              <w:rPr>
                <w:rFonts w:ascii="Calibri" w:cs="Calibri" w:eastAsia="Calibri" w:hAnsi="Calibri"/>
                <w:b/>
                <w:bCs/>
                <w:color w:val="059669"/>
                <w:sz w:val="21"/>
                <w:szCs w:val="21"/>
              </w:rPr>
              <w:t xml:space="preserve">Mandate.  </w:t>
            </w:r>
            <w:r>
              <w:rPr>
                <w:rFonts w:ascii="Calibri" w:cs="Calibri" w:eastAsia="Calibri" w:hAnsi="Calibri"/>
                <w:color w:val="000000"/>
                <w:sz w:val="21"/>
                <w:szCs w:val="21"/>
              </w:rPr>
              <w:t xml:space="preserve">One token tree. Every surface. Drift cannot merge. The design system is enforced at the pipeline, not by social pressure.</w:t>
            </w:r>
          </w:p>
        </w:tc>
      </w:tr>
    </w:tbl>
    <w:p>
      <w:pPr>
        <w:spacing w:after="120"/>
      </w:pPr>
      <w:r>
        <w:t xml:space="preserve"/>
      </w:r>
    </w:p>
    <w:p>
      <w:pPr>
        <w:pStyle w:val="Heading1"/>
      </w:pPr>
      <w:r>
        <w:t xml:space="preserve">What This Release Adds (v0.2.0)</w:t>
      </w:r>
    </w:p>
    <w:p>
      <w:pPr>
        <w:spacing w:after="140" w:line="276"/>
      </w:pPr>
      <w:r>
        <w:rPr>
          <w:rFonts w:ascii="Calibri" w:cs="Calibri" w:eastAsia="Calibri" w:hAnsi="Calibri"/>
          <w:color w:val="4B5563"/>
          <w:sz w:val="21"/>
          <w:szCs w:val="21"/>
        </w:rPr>
        <w:t xml:space="preserve">The following were added to the repository in this release. Nothing in the existing Rust runtime or SDK surface changed shape; the integration is additive and the generated token bundle deserializes unmodified.</w:t>
      </w:r>
    </w:p>
    <w:p>
      <w:pPr>
        <w:pStyle w:val="ListParagraph"/>
        <w:numPr>
          <w:ilvl w:val="0"/>
          <w:numId w:val="2"/>
        </w:numPr>
        <w:spacing w:after="60" w:line="270"/>
      </w:pPr>
      <w:r>
        <w:rPr>
          <w:rFonts w:ascii="Calibri" w:cs="Calibri" w:eastAsia="Calibri" w:hAnsi="Calibri"/>
          <w:color w:val="4B5563"/>
          <w:sz w:val="21"/>
          <w:szCs w:val="21"/>
        </w:rPr>
        <w:t xml:space="preserve">tools/ux-engine (package @thox/txf-ux-engine): the token source of truth and gate engine. Pure Node ESM, zero runtime dependencies, so it builds and self-verifies anywhere.</w:t>
      </w:r>
    </w:p>
    <w:p>
      <w:pPr>
        <w:pStyle w:val="ListParagraph"/>
        <w:numPr>
          <w:ilvl w:val="0"/>
          <w:numId w:val="2"/>
        </w:numPr>
        <w:spacing w:after="60" w:line="270"/>
      </w:pPr>
      <w:r>
        <w:rPr>
          <w:rFonts w:ascii="Calibri" w:cs="Calibri" w:eastAsia="Calibri" w:hAnsi="Calibri"/>
          <w:color w:val="4B5563"/>
          <w:sz w:val="21"/>
          <w:szCs w:val="21"/>
        </w:rPr>
        <w:t xml:space="preserve">A single authored token tree: core primitives plus base, meshstack, and doc semantic themes.</w:t>
      </w:r>
    </w:p>
    <w:p>
      <w:pPr>
        <w:pStyle w:val="ListParagraph"/>
        <w:numPr>
          <w:ilvl w:val="0"/>
          <w:numId w:val="2"/>
        </w:numPr>
        <w:spacing w:after="60" w:line="270"/>
      </w:pPr>
      <w:r>
        <w:rPr>
          <w:rFonts w:ascii="Calibri" w:cs="Calibri" w:eastAsia="Calibri" w:hAnsi="Calibri"/>
          <w:color w:val="4B5563"/>
          <w:sz w:val="21"/>
          <w:szCs w:val="21"/>
        </w:rPr>
        <w:t xml:space="preserve">Six platform emitters: web CSS, Tailwind preset, SwiftUI, Compose, Rust, and Figma (Tokens Studio).</w:t>
      </w:r>
    </w:p>
    <w:p>
      <w:pPr>
        <w:pStyle w:val="ListParagraph"/>
        <w:numPr>
          <w:ilvl w:val="0"/>
          <w:numId w:val="2"/>
        </w:numPr>
        <w:spacing w:after="60" w:line="270"/>
      </w:pPr>
      <w:r>
        <w:rPr>
          <w:rFonts w:ascii="Calibri" w:cs="Calibri" w:eastAsia="Calibri" w:hAnsi="Calibri"/>
          <w:color w:val="4B5563"/>
          <w:sz w:val="21"/>
          <w:szCs w:val="21"/>
        </w:rPr>
        <w:t xml:space="preserve">A TXF projection that generates design-systems/thox-ai-txf/TOKENS.json from the engine, with a drift gate.</w:t>
      </w:r>
    </w:p>
    <w:p>
      <w:pPr>
        <w:pStyle w:val="ListParagraph"/>
        <w:numPr>
          <w:ilvl w:val="0"/>
          <w:numId w:val="2"/>
        </w:numPr>
        <w:spacing w:after="60" w:line="270"/>
      </w:pPr>
      <w:r>
        <w:rPr>
          <w:rFonts w:ascii="Calibri" w:cs="Calibri" w:eastAsia="Calibri" w:hAnsi="Calibri"/>
          <w:color w:val="4B5563"/>
          <w:sz w:val="21"/>
          <w:szCs w:val="21"/>
        </w:rPr>
        <w:t xml:space="preserve">Four enforcement gates: forbidden-pattern brand and compliance, WCAG 2.1 AA contrast, component-contract coverage, and dist drift.</w:t>
      </w:r>
    </w:p>
    <w:p>
      <w:pPr>
        <w:pStyle w:val="ListParagraph"/>
        <w:numPr>
          <w:ilvl w:val="0"/>
          <w:numId w:val="2"/>
        </w:numPr>
        <w:spacing w:after="60" w:line="270"/>
      </w:pPr>
      <w:r>
        <w:rPr>
          <w:rFonts w:ascii="Calibri" w:cs="Calibri" w:eastAsia="Calibri" w:hAnsi="Calibri"/>
          <w:color w:val="4B5563"/>
          <w:sz w:val="21"/>
          <w:szCs w:val="21"/>
        </w:rPr>
        <w:t xml:space="preserve">The canonical ThoxButton React primitive, bound only to generated CSS variables.</w:t>
      </w:r>
    </w:p>
    <w:p>
      <w:pPr>
        <w:pStyle w:val="ListParagraph"/>
        <w:numPr>
          <w:ilvl w:val="0"/>
          <w:numId w:val="2"/>
        </w:numPr>
        <w:spacing w:after="60" w:line="270"/>
      </w:pPr>
      <w:r>
        <w:rPr>
          <w:rFonts w:ascii="Calibri" w:cs="Calibri" w:eastAsia="Calibri" w:hAnsi="Calibri"/>
          <w:color w:val="4B5563"/>
          <w:sz w:val="21"/>
          <w:szCs w:val="21"/>
        </w:rPr>
        <w:t xml:space="preserve">A dedicated CI job (ux-engine) that runs build, verify, tests, and the token drift gate on every pull request.</w:t>
      </w:r>
    </w:p>
    <w:p>
      <w:pPr>
        <w:pStyle w:val="ListParagraph"/>
        <w:numPr>
          <w:ilvl w:val="0"/>
          <w:numId w:val="2"/>
        </w:numPr>
        <w:spacing w:after="60" w:line="270"/>
      </w:pPr>
      <w:r>
        <w:rPr>
          <w:rFonts w:ascii="Calibri" w:cs="Calibri" w:eastAsia="Calibri" w:hAnsi="Calibri"/>
          <w:color w:val="4B5563"/>
          <w:sz w:val="21"/>
          <w:szCs w:val="21"/>
        </w:rPr>
        <w:t xml:space="preserve">ADR-0005 recording the decision, and updated README, CHANGELOG, and ecosystem map.</w:t>
      </w:r>
    </w:p>
    <w:p>
      <w:pPr>
        <w:spacing w:after="120"/>
      </w:pPr>
      <w:r>
        <w:t xml:space="preserve"/>
      </w:r>
    </w:p>
    <w:p>
      <w:pPr>
        <w:pStyle w:val="Heading2"/>
      </w:pPr>
      <w:r>
        <w:t xml:space="preserve">Gap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Prior gap</w:t>
            </w:r>
          </w:p>
        </w:tc>
        <w:tc>
          <w:tcPr>
            <w:tcW w:type="dxa" w:w="468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New mechanism</w:t>
            </w:r>
          </w:p>
        </w:tc>
      </w:tr>
      <w:tr>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Two sources of truth (token file vs prose brand rules)</w:t>
            </w:r>
          </w:p>
        </w:tc>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One authored token tree in the engine; brand rules encoded as lint rules</w:t>
            </w:r>
          </w:p>
        </w:tc>
      </w:tr>
      <w:tr>
        <w:tc>
          <w:tcPr>
            <w:tcW w:type="dxa" w:w="468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 file nothing generated or verified</w:t>
            </w:r>
          </w:p>
        </w:tc>
        <w:tc>
          <w:tcPr>
            <w:tcW w:type="dxa" w:w="468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TOKENS.json generated by sync-txf.mjs; drift-gated in CI</w:t>
            </w:r>
          </w:p>
        </w:tc>
      </w:tr>
      <w:tr>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Branding validator self-attested via manifest boolean</w:t>
            </w:r>
          </w:p>
        </w:tc>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Engine forbidden-pattern and drift gates perform the real token diff</w:t>
            </w:r>
          </w:p>
        </w:tc>
      </w:tr>
      <w:tr>
        <w:tc>
          <w:tcPr>
            <w:tcW w:type="dxa" w:w="468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Accessibility validator self-attested via manifest boolean</w:t>
            </w:r>
          </w:p>
        </w:tc>
        <w:tc>
          <w:tcPr>
            <w:tcW w:type="dxa" w:w="468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Engine WCAG 2.1 AA contrast gate evaluates every theme on every PR</w:t>
            </w:r>
          </w:p>
        </w:tc>
      </w:tr>
      <w:tr>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Per-platform files hand-maintained</w:t>
            </w:r>
          </w:p>
        </w:tc>
        <w:tc>
          <w:tcPr>
            <w:tcW w:type="dxa" w:w="468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Per-platform artifacts emitted from one source; drift gate guards them</w:t>
            </w:r>
          </w:p>
        </w:tc>
      </w:tr>
    </w:tbl>
    <w:p>
      <w:pPr>
        <w:spacing w:after="120"/>
      </w:pPr>
      <w:r>
        <w:t xml:space="preserve"/>
      </w:r>
    </w:p>
    <w:p>
      <w:pPr>
        <w:pStyle w:val="Heading1"/>
      </w:pPr>
      <w:r>
        <w:t xml:space="preserve">The Drift Problem</w:t>
      </w:r>
    </w:p>
    <w:p>
      <w:pPr>
        <w:spacing w:after="140" w:line="276"/>
      </w:pPr>
      <w:r>
        <w:rPr>
          <w:rFonts w:ascii="Calibri" w:cs="Calibri" w:eastAsia="Calibri" w:hAnsi="Calibri"/>
          <w:color w:val="4B5563"/>
          <w:sz w:val="21"/>
          <w:szCs w:val="21"/>
        </w:rPr>
        <w:t xml:space="preserve">The failure modes below are what the engine is designed to eliminate. Each was present in the repository before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w:t>
            </w:r>
          </w:p>
        </w:tc>
        <w:tc>
          <w:tcPr>
            <w:tcW w:type="dxa" w:w="42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Failure mode</w:t>
            </w:r>
          </w:p>
        </w:tc>
        <w:tc>
          <w:tcPr>
            <w:tcW w:type="dxa" w:w="45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Risk if unmanaged</w:t>
            </w:r>
          </w:p>
        </w:tc>
      </w:tr>
      <w:tr>
        <w:tc>
          <w:tcPr>
            <w:tcW w:type="dxa" w:w="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w:t>
            </w:r>
          </w:p>
        </w:tc>
        <w:tc>
          <w:tcPr>
            <w:tcW w:type="dxa" w:w="4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 file edited by hand, out of band</w:t>
            </w:r>
          </w:p>
        </w:tc>
        <w:tc>
          <w:tcPr>
            <w:tcW w:type="dxa" w:w="4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Platforms diverge silently; the design system becomes aspirational</w:t>
            </w:r>
          </w:p>
        </w:tc>
      </w:tr>
      <w:tr>
        <w:tc>
          <w:tcPr>
            <w:tcW w:type="dxa" w:w="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2</w:t>
            </w:r>
          </w:p>
        </w:tc>
        <w:tc>
          <w:tcPr>
            <w:tcW w:type="dxa" w:w="4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Brand rules in prose, not enforced</w:t>
            </w:r>
          </w:p>
        </w:tc>
        <w:tc>
          <w:tcPr>
            <w:tcW w:type="dxa" w:w="45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Off-brand color, banned claims, and leaked restricted facts reach production</w:t>
            </w:r>
          </w:p>
        </w:tc>
      </w:tr>
      <w:tr>
        <w:tc>
          <w:tcPr>
            <w:tcW w:type="dxa" w:w="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3</w:t>
            </w:r>
          </w:p>
        </w:tc>
        <w:tc>
          <w:tcPr>
            <w:tcW w:type="dxa" w:w="4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Validators self-attest via booleans</w:t>
            </w:r>
          </w:p>
        </w:tc>
        <w:tc>
          <w:tcPr>
            <w:tcW w:type="dxa" w:w="4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 product can claim compliance it does not have; the score is theater</w:t>
            </w:r>
          </w:p>
        </w:tc>
      </w:tr>
      <w:tr>
        <w:tc>
          <w:tcPr>
            <w:tcW w:type="dxa" w:w="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4</w:t>
            </w:r>
          </w:p>
        </w:tc>
        <w:tc>
          <w:tcPr>
            <w:tcW w:type="dxa" w:w="4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No contrast math in CI</w:t>
            </w:r>
          </w:p>
        </w:tc>
        <w:tc>
          <w:tcPr>
            <w:tcW w:type="dxa" w:w="45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Accessibility regressions ship and are caught only in manual audit</w:t>
            </w:r>
          </w:p>
        </w:tc>
      </w:tr>
      <w:tr>
        <w:tc>
          <w:tcPr>
            <w:tcW w:type="dxa" w:w="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5</w:t>
            </w:r>
          </w:p>
        </w:tc>
        <w:tc>
          <w:tcPr>
            <w:tcW w:type="dxa" w:w="4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No component contracts</w:t>
            </w:r>
          </w:p>
        </w:tc>
        <w:tc>
          <w:tcPr>
            <w:tcW w:type="dxa" w:w="4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Each surface reinvents states and bindings; cross-platform parity erodes</w:t>
            </w:r>
          </w:p>
        </w:tc>
      </w:tr>
    </w:tbl>
    <w:p>
      <w:pPr>
        <w:spacing w:after="120"/>
      </w:pPr>
      <w:r>
        <w:t xml:space="preserve"/>
      </w:r>
    </w:p>
    <w:p>
      <w:pPr>
        <w:pStyle w:val="Heading1"/>
      </w:pPr>
      <w:r>
        <w:t xml:space="preserve">UX Engine Overview</w:t>
      </w:r>
    </w:p>
    <w:p>
      <w:pPr>
        <w:spacing w:after="140" w:line="276"/>
      </w:pPr>
      <w:r>
        <w:rPr>
          <w:rFonts w:ascii="Calibri" w:cs="Calibri" w:eastAsia="Calibri" w:hAnsi="Calibri"/>
          <w:color w:val="4B5563"/>
          <w:sz w:val="21"/>
          <w:szCs w:val="21"/>
        </w:rPr>
        <w:t xml:space="preserve">The engine sits beneath the design system documents and feeds both the TXF runtime and every SDK. It is intentionally dependency-free Node so it runs identically on a developer machine and in CI, and so it can self-verify without a network or a package install.</w:t>
      </w:r>
    </w:p>
    <w:p>
      <w:pPr>
        <w:pStyle w:val="Heading2"/>
      </w:pPr>
      <w:r>
        <w:t xml:space="preserve">Pipeline</w:t>
      </w:r>
    </w:p>
    <w:p>
      <w:pPr>
        <w:spacing w:after="0" w:line="240"/>
      </w:pPr>
      <w:r>
        <w:rPr>
          <w:rFonts w:ascii="Consolas" w:cs="Consolas" w:eastAsia="Consolas" w:hAnsi="Consolas"/>
          <w:color w:val="000000"/>
          <w:sz w:val="17"/>
          <w:szCs w:val="17"/>
        </w:rPr>
        <w:t xml:space="preserve">  tokens/ (authored once)</w:t>
      </w:r>
    </w:p>
    <w:p>
      <w:pPr>
        <w:spacing w:after="0" w:line="240"/>
      </w:pPr>
      <w:r>
        <w:rPr>
          <w:rFonts w:ascii="Consolas" w:cs="Consolas" w:eastAsia="Consolas" w:hAnsi="Consolas"/>
          <w:color w:val="000000"/>
          <w:sz w:val="17"/>
          <w:szCs w:val="17"/>
        </w:rPr>
        <w:t xml:space="preserve">    core: color, dimension, type, motion</w:t>
      </w:r>
    </w:p>
    <w:p>
      <w:pPr>
        <w:spacing w:after="0" w:line="240"/>
      </w:pPr>
      <w:r>
        <w:rPr>
          <w:rFonts w:ascii="Consolas" w:cs="Consolas" w:eastAsia="Consolas" w:hAnsi="Consolas"/>
          <w:color w:val="000000"/>
          <w:sz w:val="17"/>
          <w:szCs w:val="17"/>
        </w:rPr>
        <w:t xml:space="preserve">    semantic: base + theme.doc + theme.meshstack + role</w:t>
      </w:r>
    </w:p>
    <w:p>
      <w:pPr>
        <w:spacing w:after="0" w:line="240"/>
      </w:pPr>
      <w:r>
        <w:rPr>
          <w:rFonts w:ascii="Consolas" w:cs="Consolas" w:eastAsia="Consolas" w:hAnsi="Consolas"/>
          <w:color w:val="000000"/>
          <w:sz w:val="17"/>
          <w:szCs w:val="17"/>
        </w:rPr>
        <w:t xml:space="preserve">        |</w:t>
      </w:r>
    </w:p>
    <w:p>
      <w:pPr>
        <w:spacing w:after="0" w:line="240"/>
      </w:pPr>
      <w:r>
        <w:rPr>
          <w:rFonts w:ascii="Consolas" w:cs="Consolas" w:eastAsia="Consolas" w:hAnsi="Consolas"/>
          <w:color w:val="000000"/>
          <w:sz w:val="17"/>
          <w:szCs w:val="17"/>
        </w:rPr>
        <w:t xml:space="preserve">        v</w:t>
      </w:r>
    </w:p>
    <w:p>
      <w:pPr>
        <w:spacing w:after="0" w:line="240"/>
      </w:pPr>
      <w:r>
        <w:rPr>
          <w:rFonts w:ascii="Consolas" w:cs="Consolas" w:eastAsia="Consolas" w:hAnsi="Consolas"/>
          <w:color w:val="000000"/>
          <w:sz w:val="17"/>
          <w:szCs w:val="17"/>
        </w:rPr>
        <w:t xml:space="preserve">  resolve.mjs  -&gt;  build.mjs  -&gt;  dist/ + manifest.json (sha256)</w:t>
      </w:r>
    </w:p>
    <w:p>
      <w:pPr>
        <w:spacing w:after="0" w:line="240"/>
      </w:pPr>
      <w:r>
        <w:rPr>
          <w:rFonts w:ascii="Consolas" w:cs="Consolas" w:eastAsia="Consolas" w:hAnsi="Consolas"/>
          <w:color w:val="000000"/>
          <w:sz w:val="17"/>
          <w:szCs w:val="17"/>
        </w:rPr>
        <w:t xml:space="preserve">        |                      |</w:t>
      </w:r>
    </w:p>
    <w:p>
      <w:pPr>
        <w:spacing w:after="0" w:line="240"/>
      </w:pPr>
      <w:r>
        <w:rPr>
          <w:rFonts w:ascii="Consolas" w:cs="Consolas" w:eastAsia="Consolas" w:hAnsi="Consolas"/>
          <w:color w:val="000000"/>
          <w:sz w:val="17"/>
          <w:szCs w:val="17"/>
        </w:rPr>
        <w:t xml:space="preserve">        |                      +--&gt; web CSS + Tailwind preset</w:t>
      </w:r>
    </w:p>
    <w:p>
      <w:pPr>
        <w:spacing w:after="0" w:line="240"/>
      </w:pPr>
      <w:r>
        <w:rPr>
          <w:rFonts w:ascii="Consolas" w:cs="Consolas" w:eastAsia="Consolas" w:hAnsi="Consolas"/>
          <w:color w:val="000000"/>
          <w:sz w:val="17"/>
          <w:szCs w:val="17"/>
        </w:rPr>
        <w:t xml:space="preserve">        |                      +--&gt; SwiftUI / Compose / Rust</w:t>
      </w:r>
    </w:p>
    <w:p>
      <w:pPr>
        <w:spacing w:after="0" w:line="240"/>
      </w:pPr>
      <w:r>
        <w:rPr>
          <w:rFonts w:ascii="Consolas" w:cs="Consolas" w:eastAsia="Consolas" w:hAnsi="Consolas"/>
          <w:color w:val="000000"/>
          <w:sz w:val="17"/>
          <w:szCs w:val="17"/>
        </w:rPr>
        <w:t xml:space="preserve">        |                      +--&gt; Figma (Tokens Studio)</w:t>
      </w:r>
    </w:p>
    <w:p>
      <w:pPr>
        <w:spacing w:after="0" w:line="240"/>
      </w:pPr>
      <w:r>
        <w:rPr>
          <w:rFonts w:ascii="Consolas" w:cs="Consolas" w:eastAsia="Consolas" w:hAnsi="Consolas"/>
          <w:color w:val="000000"/>
          <w:sz w:val="17"/>
          <w:szCs w:val="17"/>
        </w:rPr>
        <w:t xml:space="preserve">        |                      +--&gt; TXF v2.0 TOKENS.json</w:t>
      </w:r>
    </w:p>
    <w:p>
      <w:pPr>
        <w:spacing w:after="0" w:line="240"/>
      </w:pPr>
      <w:r>
        <w:rPr>
          <w:rFonts w:ascii="Consolas" w:cs="Consolas" w:eastAsia="Consolas" w:hAnsi="Consolas"/>
          <w:color w:val="000000"/>
          <w:sz w:val="17"/>
          <w:szCs w:val="17"/>
        </w:rPr>
        <w:t xml:space="preserve">        v</w:t>
      </w:r>
    </w:p>
    <w:p>
      <w:pPr>
        <w:spacing w:after="0" w:line="240"/>
      </w:pPr>
      <w:r>
        <w:rPr>
          <w:rFonts w:ascii="Consolas" w:cs="Consolas" w:eastAsia="Consolas" w:hAnsi="Consolas"/>
          <w:color w:val="000000"/>
          <w:sz w:val="17"/>
          <w:szCs w:val="17"/>
        </w:rPr>
        <w:t xml:space="preserve">  verify.mjs: forbidden + contrast + contracts + drift</w:t>
      </w:r>
    </w:p>
    <w:p>
      <w:pPr>
        <w:spacing w:after="60"/>
      </w:pPr>
      <w:r>
        <w:t xml:space="preserve"/>
      </w:r>
    </w:p>
    <w:p>
      <w:pPr>
        <w:spacing w:after="140" w:line="276"/>
      </w:pPr>
      <w:r>
        <w:rPr>
          <w:rFonts w:ascii="Calibri" w:cs="Calibri" w:eastAsia="Calibri" w:hAnsi="Calibri"/>
          <w:color w:val="4B5563"/>
          <w:sz w:val="21"/>
          <w:szCs w:val="21"/>
        </w:rPr>
        <w:t xml:space="preserve">Brand colors in the TXF projection derive from the engine core palette, so a change to emerald in the core token file propagates into the TXF runtime bundle automatically. TXF-specific structural scales are authored once in a single overrides file.</w:t>
      </w:r>
    </w:p>
    <w:p>
      <w:pPr>
        <w:spacing w:after="120"/>
      </w:pPr>
      <w:r>
        <w:t xml:space="preserve"/>
      </w:r>
    </w:p>
    <w:p>
      <w:pPr>
        <w:pStyle w:val="Heading1"/>
      </w:pPr>
      <w:r>
        <w:t xml:space="preserve">Token Pipeline and Single Source of Truth</w:t>
      </w:r>
    </w:p>
    <w:p>
      <w:pPr>
        <w:spacing w:after="140" w:line="276"/>
      </w:pPr>
      <w:r>
        <w:rPr>
          <w:rFonts w:ascii="Calibri" w:cs="Calibri" w:eastAsia="Calibri" w:hAnsi="Calibri"/>
          <w:color w:val="4B5563"/>
          <w:sz w:val="21"/>
          <w:szCs w:val="21"/>
        </w:rPr>
        <w:t xml:space="preserve">A token value is authored in exactly one place: the engine tokens directory. The build compiles every artifact. The TXF projection writes the runtime bundle. The drift gate guarantees the committed bundle matches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Artifact</w:t>
            </w:r>
          </w:p>
        </w:tc>
        <w:tc>
          <w:tcPr>
            <w:tcW w:type="dxa" w:w="47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Path</w:t>
            </w:r>
          </w:p>
        </w:tc>
        <w:tc>
          <w:tcPr>
            <w:tcW w:type="dxa" w:w="24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Consumer</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Web tokens</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tools/ux-engine/dist/web/thox-tokens.css</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thox.ai web, dashboard, docs</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Tailwind preset</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tools/ux-engine/dist/web/tailwind-preset.cjs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Next.js apps</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SwiftUI</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tools/ux-engine/dist/swift/ThoxTokens.swift</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iOS, macOS, watchOS surfaces</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Compose</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tools/ux-engine/dist/kotlin/ThoxTokens.kt</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Android, ThoxWatch</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Rust</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tools/ux-engine/dist/rust/thox_tokens.rs</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ThoxOS device UI</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Figma</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tools/ux-engine/dist/figma/thox.tokens.json</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Design (Tokens Studio import)</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runtime bundle</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design-systems/thox-ai-txf/TOKENS.json</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txf-design-tokens crate, all SDKs</w:t>
            </w:r>
          </w:p>
        </w:tc>
      </w:tr>
    </w:tbl>
    <w:p>
      <w:pPr>
        <w:spacing w:after="60"/>
      </w:pPr>
      <w:r>
        <w:t xml:space="preserve"/>
      </w:r>
    </w:p>
    <w:p>
      <w:pPr>
        <w:spacing w:after="140" w:line="276"/>
      </w:pPr>
      <w:r>
        <w:rPr>
          <w:rFonts w:ascii="Calibri" w:cs="Calibri" w:eastAsia="Calibri" w:hAnsi="Calibri"/>
          <w:color w:val="4B5563"/>
          <w:sz w:val="21"/>
          <w:szCs w:val="21"/>
        </w:rPr>
        <w:t xml:space="preserve">Regenerate and verify with: node src/build.mjs, node src/verify.mjs, node src/sync-txf.mjs, and node src/sync-txf.mjs --check. CI runs all four.</w:t>
      </w:r>
    </w:p>
    <w:p>
      <w:pPr>
        <w:spacing w:after="120"/>
      </w:pPr>
      <w:r>
        <w:t xml:space="preserve"/>
      </w:r>
    </w:p>
    <w:p>
      <w:pPr>
        <w:pStyle w:val="Heading1"/>
      </w:pPr>
      <w:r>
        <w:t xml:space="preserve">The Four Gates</w:t>
      </w:r>
    </w:p>
    <w:p>
      <w:pPr>
        <w:spacing w:after="140" w:line="276"/>
      </w:pPr>
      <w:r>
        <w:rPr>
          <w:rFonts w:ascii="Calibri" w:cs="Calibri" w:eastAsia="Calibri" w:hAnsi="Calibri"/>
          <w:color w:val="4B5563"/>
          <w:sz w:val="21"/>
          <w:szCs w:val="21"/>
        </w:rPr>
        <w:t xml:space="preserve">verify.mjs runs every read-only check and aggregates the result into one exit code. A fifth check, the TXF token drift gate, runs alongside it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Gate</w:t>
            </w:r>
          </w:p>
        </w:tc>
        <w:tc>
          <w:tcPr>
            <w:tcW w:type="dxa" w:w="23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Module</w:t>
            </w:r>
          </w:p>
        </w:tc>
        <w:tc>
          <w:tcPr>
            <w:tcW w:type="dxa" w:w="51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Blocks</w:t>
            </w:r>
          </w:p>
        </w:tc>
      </w:tr>
      <w:tr>
        <w:tc>
          <w:tcPr>
            <w:tcW w:type="dxa" w:w="19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Forbidden patterns</w:t>
            </w:r>
          </w:p>
        </w:tc>
        <w:tc>
          <w:tcPr>
            <w:tcW w:type="dxa" w:w="23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src/lint/forbidden.mjs</w:t>
            </w:r>
          </w:p>
        </w:tc>
        <w:tc>
          <w:tcPr>
            <w:tcW w:type="dxa" w:w="5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Off-brand color, banned claims, leaked SoC / TOPS / partner / restricted SKU, purple misuse, gray-vs-zinc, cyan</w:t>
            </w:r>
          </w:p>
        </w:tc>
      </w:tr>
      <w:tr>
        <w:tc>
          <w:tcPr>
            <w:tcW w:type="dxa" w:w="19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Contrast (AA)</w:t>
            </w:r>
          </w:p>
        </w:tc>
        <w:tc>
          <w:tcPr>
            <w:tcW w:type="dxa" w:w="23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src/lint/contrast.mjs</w:t>
            </w:r>
          </w:p>
        </w:tc>
        <w:tc>
          <w:tcPr>
            <w:tcW w:type="dxa" w:w="5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Any text or UI pair below WCAG 2.1 AA, evaluated per theme</w:t>
            </w:r>
          </w:p>
        </w:tc>
      </w:tr>
      <w:tr>
        <w:tc>
          <w:tcPr>
            <w:tcW w:type="dxa" w:w="19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Contracts</w:t>
            </w:r>
          </w:p>
        </w:tc>
        <w:tc>
          <w:tcPr>
            <w:tcW w:type="dxa" w:w="23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src/lint/contracts.mjs</w:t>
            </w:r>
          </w:p>
        </w:tc>
        <w:tc>
          <w:tcPr>
            <w:tcW w:type="dxa" w:w="5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 component missing states, token bindings, or platform mappings</w:t>
            </w:r>
          </w:p>
        </w:tc>
      </w:tr>
      <w:tr>
        <w:tc>
          <w:tcPr>
            <w:tcW w:type="dxa" w:w="19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Drift</w:t>
            </w:r>
          </w:p>
        </w:tc>
        <w:tc>
          <w:tcPr>
            <w:tcW w:type="dxa" w:w="23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src/lint/drift.mjs</w:t>
            </w:r>
          </w:p>
        </w:tc>
        <w:tc>
          <w:tcPr>
            <w:tcW w:type="dxa" w:w="5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Hand-edited platform output (rebuild vs sha256 manifest)</w:t>
            </w:r>
          </w:p>
        </w:tc>
      </w:tr>
      <w:tr>
        <w:tc>
          <w:tcPr>
            <w:tcW w:type="dxa" w:w="19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token drift</w:t>
            </w:r>
          </w:p>
        </w:tc>
        <w:tc>
          <w:tcPr>
            <w:tcW w:type="dxa" w:w="23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src/sync-txf.mjs --check</w:t>
            </w:r>
          </w:p>
        </w:tc>
        <w:tc>
          <w:tcPr>
            <w:tcW w:type="dxa" w:w="5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 hand-edited design-systems/thox-ai-txf/TOKENS.json</w:t>
            </w:r>
          </w:p>
        </w:tc>
      </w:tr>
    </w:tbl>
    <w:p>
      <w:pPr>
        <w:spacing w:after="60"/>
      </w:pPr>
      <w:r>
        <w:t xml:space="preserve"/>
      </w:r>
    </w:p>
    <w:p>
      <w:pPr>
        <w:pStyle w:val="Heading2"/>
      </w:pPr>
      <w:r>
        <w:t xml:space="preserve">Surface Scoping</w:t>
      </w:r>
    </w:p>
    <w:p>
      <w:pPr>
        <w:spacing w:after="140" w:line="276"/>
      </w:pPr>
      <w:r>
        <w:rPr>
          <w:rFonts w:ascii="Calibri" w:cs="Calibri" w:eastAsia="Calibri" w:hAnsi="Calibri"/>
          <w:color w:val="4B5563"/>
          <w:sz w:val="21"/>
          <w:szCs w:val="21"/>
        </w:rPr>
        <w:t xml:space="preserve">The forbidden-pattern gate is strictest on public Founders content. A file declares its surface by path or by a directive comment: public is held to the full restricted set, internal permits naming internal hardware, and magstack is the only surface where the reserved purple accent is allowed.</w:t>
      </w:r>
    </w:p>
    <w:p>
      <w:pPr>
        <w:spacing w:after="120"/>
      </w:pPr>
      <w:r>
        <w:t xml:space="preserve"/>
      </w:r>
    </w:p>
    <w:p>
      <w:pPr>
        <w:pStyle w:val="Heading1"/>
      </w:pPr>
      <w:r>
        <w:t xml:space="preserve">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060"/>
        <w:gridCol w:w="3500"/>
      </w:tblGrid>
      <w:tr>
        <w:trPr>
          <w:tblHeader/>
        </w:trPr>
        <w:tc>
          <w:tcPr>
            <w:tcW w:type="dxa" w:w="17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Theme</w:t>
            </w:r>
          </w:p>
        </w:tc>
        <w:tc>
          <w:tcPr>
            <w:tcW w:type="dxa" w:w="11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Tokens</w:t>
            </w:r>
          </w:p>
        </w:tc>
        <w:tc>
          <w:tcPr>
            <w:tcW w:type="dxa" w:w="30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Surface</w:t>
            </w:r>
          </w:p>
        </w:tc>
        <w:tc>
          <w:tcPr>
            <w:tcW w:type="dxa" w:w="35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Notes</w:t>
            </w:r>
          </w:p>
        </w:tc>
      </w:tr>
      <w:tr>
        <w:tc>
          <w:tcPr>
            <w:tcW w:type="dxa" w:w="17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base</w:t>
            </w:r>
          </w:p>
        </w:tc>
        <w:tc>
          <w:tcPr>
            <w:tcW w:type="dxa" w:w="11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126</w:t>
            </w:r>
          </w:p>
        </w:tc>
        <w:tc>
          <w:tcPr>
            <w:tcW w:type="dxa" w:w="30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App dark (default)</w:t>
            </w:r>
          </w:p>
        </w:tc>
        <w:tc>
          <w:tcPr>
            <w:tcW w:type="dxa" w:w="35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Emerald on near-black zinc</w:t>
            </w:r>
          </w:p>
        </w:tc>
      </w:tr>
      <w:tr>
        <w:tc>
          <w:tcPr>
            <w:tcW w:type="dxa" w:w="17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meshstack</w:t>
            </w:r>
          </w:p>
        </w:tc>
        <w:tc>
          <w:tcPr>
            <w:tcW w:type="dxa" w:w="11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127</w:t>
            </w:r>
          </w:p>
        </w:tc>
        <w:tc>
          <w:tcPr>
            <w:tcW w:type="dxa" w:w="30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MeshStack app</w:t>
            </w:r>
          </w:p>
        </w:tc>
        <w:tc>
          <w:tcPr>
            <w:tcW w:type="dxa" w:w="35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Cooler near-black overlay</w:t>
            </w:r>
          </w:p>
        </w:tc>
      </w:tr>
      <w:tr>
        <w:tc>
          <w:tcPr>
            <w:tcW w:type="dxa" w:w="17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doc</w:t>
            </w:r>
          </w:p>
        </w:tc>
        <w:tc>
          <w:tcPr>
            <w:tcW w:type="dxa" w:w="11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126</w:t>
            </w:r>
          </w:p>
        </w:tc>
        <w:tc>
          <w:tcPr>
            <w:tcW w:type="dxa" w:w="30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Word and PDF, light pages</w:t>
            </w:r>
          </w:p>
        </w:tc>
        <w:tc>
          <w:tcPr>
            <w:tcW w:type="dxa" w:w="35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Light flip; accent rebinds to emerald-800 for AA on white</w:t>
            </w:r>
          </w:p>
        </w:tc>
      </w:tr>
    </w:tbl>
    <w:p>
      <w:pPr>
        <w:spacing w:after="60"/>
      </w:pPr>
      <w:r>
        <w:t xml:space="preserve"/>
      </w:r>
    </w:p>
    <w:p>
      <w:pPr>
        <w:spacing w:after="140" w:line="276"/>
      </w:pPr>
      <w:r>
        <w:rPr>
          <w:rFonts w:ascii="Calibri" w:cs="Calibri" w:eastAsia="Calibri" w:hAnsi="Calibri"/>
          <w:color w:val="4B5563"/>
          <w:sz w:val="21"/>
          <w:szCs w:val="21"/>
        </w:rPr>
        <w:t xml:space="preserve">The doc theme carries a dedicated accent token because emerald-500 fails AA on a white document surface. It rebinds the accent to emerald-800, and the contrast gate evaluates document pairs separately from interactive pairs.</w:t>
      </w:r>
    </w:p>
    <w:p>
      <w:pPr>
        <w:spacing w:after="120"/>
      </w:pPr>
      <w:r>
        <w:t xml:space="preserve"/>
      </w:r>
    </w:p>
    <w:p>
      <w:pPr>
        <w:pStyle w:val="Heading1"/>
      </w:pPr>
      <w:r>
        <w:t xml:space="preserve">Component Contracts</w:t>
      </w:r>
    </w:p>
    <w:p>
      <w:pPr>
        <w:spacing w:after="140" w:line="276"/>
      </w:pPr>
      <w:r>
        <w:rPr>
          <w:rFonts w:ascii="Calibri" w:cs="Calibri" w:eastAsia="Calibri" w:hAnsi="Calibri"/>
          <w:color w:val="4B5563"/>
          <w:sz w:val="21"/>
          <w:szCs w:val="21"/>
        </w:rPr>
        <w:t xml:space="preserve">A contract is the platform-agnostic definition of a component: its variants, states, token bindings, accessibility requirements, target platforms, the user journeys it serves, and a readiness level. Interactive contracts must declare default, pressed, disabled, and loading, plus focus or hover, with focus-visible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1800"/>
        <w:gridCol w:w="2600"/>
      </w:tblGrid>
      <w:tr>
        <w:trPr>
          <w:tblHeader/>
        </w:trP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Contract</w:t>
            </w:r>
          </w:p>
        </w:tc>
        <w:tc>
          <w:tcPr>
            <w:tcW w:type="dxa" w:w="1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Readiness</w:t>
            </w:r>
          </w:p>
        </w:tc>
        <w:tc>
          <w:tcPr>
            <w:tcW w:type="dxa" w:w="18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Kind</w:t>
            </w:r>
          </w:p>
        </w:tc>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Journeys</w:t>
            </w:r>
          </w:p>
        </w:tc>
      </w:tr>
      <w:tr>
        <w:tc>
          <w:tcPr>
            <w:tcW w:type="dxa" w:w="3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MS / Action / PrimaryButton</w:t>
            </w:r>
          </w:p>
        </w:tc>
        <w:tc>
          <w:tcPr>
            <w:tcW w:type="dxa" w:w="1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L3</w:t>
            </w:r>
          </w:p>
        </w:tc>
        <w:tc>
          <w:tcPr>
            <w:tcW w:type="dxa" w:w="1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interactive</w:t>
            </w:r>
          </w:p>
        </w:tc>
        <w:tc>
          <w:tcPr>
            <w:tcW w:type="dxa" w:w="2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J-001, J-002, J-006</w:t>
            </w:r>
          </w:p>
        </w:tc>
      </w:tr>
      <w:tr>
        <w:tc>
          <w:tcPr>
            <w:tcW w:type="dxa" w:w="33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MS / Cards / DeviceCard</w:t>
            </w:r>
          </w:p>
        </w:tc>
        <w:tc>
          <w:tcPr>
            <w:tcW w:type="dxa" w:w="1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L3</w:t>
            </w:r>
          </w:p>
        </w:tc>
        <w:tc>
          <w:tcPr>
            <w:tcW w:type="dxa" w:w="18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interactive</w:t>
            </w:r>
          </w:p>
        </w:tc>
        <w:tc>
          <w:tcPr>
            <w:tcW w:type="dxa" w:w="2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J-004, J-005, J-009</w:t>
            </w:r>
          </w:p>
        </w:tc>
      </w:tr>
      <w:tr>
        <w:tc>
          <w:tcPr>
            <w:tcW w:type="dxa" w:w="3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MS / Status / MeshStatusPill</w:t>
            </w:r>
          </w:p>
        </w:tc>
        <w:tc>
          <w:tcPr>
            <w:tcW w:type="dxa" w:w="1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L2</w:t>
            </w:r>
          </w:p>
        </w:tc>
        <w:tc>
          <w:tcPr>
            <w:tcW w:type="dxa" w:w="1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static</w:t>
            </w:r>
          </w:p>
        </w:tc>
        <w:tc>
          <w:tcPr>
            <w:tcW w:type="dxa" w:w="26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J-003, J-005</w:t>
            </w:r>
          </w:p>
        </w:tc>
      </w:tr>
      <w:tr>
        <w:tc>
          <w:tcPr>
            <w:tcW w:type="dxa" w:w="33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MS / Pairing / QRPairingCard</w:t>
            </w:r>
          </w:p>
        </w:tc>
        <w:tc>
          <w:tcPr>
            <w:tcW w:type="dxa" w:w="1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L2</w:t>
            </w:r>
          </w:p>
        </w:tc>
        <w:tc>
          <w:tcPr>
            <w:tcW w:type="dxa" w:w="18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interactive</w:t>
            </w:r>
          </w:p>
        </w:tc>
        <w:tc>
          <w:tcPr>
            <w:tcW w:type="dxa" w:w="26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J-002, J-003</w:t>
            </w:r>
          </w:p>
        </w:tc>
      </w:tr>
    </w:tbl>
    <w:p>
      <w:pPr>
        <w:spacing w:after="120"/>
      </w:pPr>
      <w:r>
        <w:t xml:space="preserve"/>
      </w:r>
    </w:p>
    <w:p>
      <w:pPr>
        <w:pStyle w:val="Heading1"/>
      </w:pPr>
      <w:r>
        <w:t xml:space="preserve">Certification Linkage</w:t>
      </w:r>
    </w:p>
    <w:p>
      <w:pPr>
        <w:spacing w:after="140" w:line="276"/>
      </w:pPr>
      <w:r>
        <w:rPr>
          <w:rFonts w:ascii="Calibri" w:cs="Calibri" w:eastAsia="Calibri" w:hAnsi="Calibri"/>
          <w:color w:val="4B5563"/>
          <w:sz w:val="21"/>
          <w:szCs w:val="21"/>
        </w:rPr>
        <w:t xml:space="preserve">The engine gives the THOX Experience Score a defensible basis. The branding and accessibility validators keep their in-bundle scoring role, but the real enforcement now happens in the engine CI job, which is a required check upstream of thox-cert. Their source comments, which previously deferred the token diff and contrast checks to a future release, now point at the engine as the authoritative enforcer.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Experience Score dimension</w:t>
            </w:r>
          </w:p>
        </w:tc>
        <w:tc>
          <w:tcPr>
            <w:tcW w:type="dxa" w:w="6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Engine backing</w:t>
            </w:r>
          </w:p>
        </w:tc>
      </w:tr>
      <w:tr>
        <w:tc>
          <w:tcPr>
            <w:tcW w:type="dxa" w:w="3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Branding (20%)</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Forbidden-pattern gate plus dist and TXF token drift gates (real token diff)</w:t>
            </w:r>
          </w:p>
        </w:tc>
      </w:tr>
      <w:tr>
        <w:tc>
          <w:tcPr>
            <w:tcW w:type="dxa" w:w="33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Accessibility (20%)</w:t>
            </w:r>
          </w:p>
        </w:tc>
        <w:tc>
          <w:tcPr>
            <w:tcW w:type="dxa" w:w="6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WCAG 2.1 AA contrast gate across every theme</w:t>
            </w:r>
          </w:p>
        </w:tc>
      </w:tr>
      <w:tr>
        <w:tc>
          <w:tcPr>
            <w:tcW w:type="dxa" w:w="3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Navigation (20%)</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Component contracts for navigation surfaces (locked five-section model)</w:t>
            </w:r>
          </w:p>
        </w:tc>
      </w:tr>
      <w:tr>
        <w:tc>
          <w:tcPr>
            <w:tcW w:type="dxa" w:w="33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Agents (15%)</w:t>
            </w:r>
          </w:p>
        </w:tc>
        <w:tc>
          <w:tcPr>
            <w:tcW w:type="dxa" w:w="6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Contract bindings for THOXY-facing components</w:t>
            </w:r>
          </w:p>
        </w:tc>
      </w:tr>
      <w:tr>
        <w:tc>
          <w:tcPr>
            <w:tcW w:type="dxa" w:w="33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Devices (15%)</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DeviceCard and MeshStatusPill contracts</w:t>
            </w:r>
          </w:p>
        </w:tc>
      </w:tr>
      <w:tr>
        <w:tc>
          <w:tcPr>
            <w:tcW w:type="dxa" w:w="33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Memory (10%)</w:t>
            </w:r>
          </w:p>
        </w:tc>
        <w:tc>
          <w:tcPr>
            <w:tcW w:type="dxa" w:w="6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 and contract coverage for memory-surface components</w:t>
            </w:r>
          </w:p>
        </w:tc>
      </w:tr>
    </w:tbl>
    <w:p>
      <w:pPr>
        <w:spacing w:after="120"/>
      </w:pPr>
      <w:r>
        <w:t xml:space="preserve"/>
      </w:r>
    </w:p>
    <w:p>
      <w:pPr>
        <w:pStyle w:val="Heading1"/>
      </w:pPr>
      <w:r>
        <w:t xml:space="preserve">CI Enforcement Model</w:t>
      </w:r>
    </w:p>
    <w:p>
      <w:pPr>
        <w:spacing w:after="140" w:line="276"/>
      </w:pPr>
      <w:r>
        <w:rPr>
          <w:rFonts w:ascii="Calibri" w:cs="Calibri" w:eastAsia="Calibri" w:hAnsi="Calibri"/>
          <w:color w:val="4B5563"/>
          <w:sz w:val="21"/>
          <w:szCs w:val="21"/>
        </w:rPr>
        <w:t xml:space="preserve">The ux-engine job runs on every pull request that touches the repository. It is independent of the Rust matrix and gates the design system regardless of language.</w:t>
      </w:r>
    </w:p>
    <w:p>
      <w:pPr>
        <w:pStyle w:val="ListParagraph"/>
        <w:numPr>
          <w:ilvl w:val="0"/>
          <w:numId w:val="2"/>
        </w:numPr>
        <w:spacing w:after="60" w:line="270"/>
      </w:pPr>
      <w:r>
        <w:rPr>
          <w:rFonts w:ascii="Calibri" w:cs="Calibri" w:eastAsia="Calibri" w:hAnsi="Calibri"/>
          <w:color w:val="4B5563"/>
          <w:sz w:val="21"/>
          <w:szCs w:val="21"/>
        </w:rPr>
        <w:t xml:space="preserve">Build tokens: node src/build.mjs regenerates every platform artifact.</w:t>
      </w:r>
    </w:p>
    <w:p>
      <w:pPr>
        <w:pStyle w:val="ListParagraph"/>
        <w:numPr>
          <w:ilvl w:val="0"/>
          <w:numId w:val="2"/>
        </w:numPr>
        <w:spacing w:after="60" w:line="270"/>
      </w:pPr>
      <w:r>
        <w:rPr>
          <w:rFonts w:ascii="Calibri" w:cs="Calibri" w:eastAsia="Calibri" w:hAnsi="Calibri"/>
          <w:color w:val="4B5563"/>
          <w:sz w:val="21"/>
          <w:szCs w:val="21"/>
        </w:rPr>
        <w:t xml:space="preserve">Verify gates: node src/verify.mjs runs forbidden patterns, contrast, contracts, and drift.</w:t>
      </w:r>
    </w:p>
    <w:p>
      <w:pPr>
        <w:pStyle w:val="ListParagraph"/>
        <w:numPr>
          <w:ilvl w:val="0"/>
          <w:numId w:val="2"/>
        </w:numPr>
        <w:spacing w:after="60" w:line="270"/>
      </w:pPr>
      <w:r>
        <w:rPr>
          <w:rFonts w:ascii="Calibri" w:cs="Calibri" w:eastAsia="Calibri" w:hAnsi="Calibri"/>
          <w:color w:val="4B5563"/>
          <w:sz w:val="21"/>
          <w:szCs w:val="21"/>
        </w:rPr>
        <w:t xml:space="preserve">Unit tests: node --test test/*.test.mjs.</w:t>
      </w:r>
    </w:p>
    <w:p>
      <w:pPr>
        <w:pStyle w:val="ListParagraph"/>
        <w:numPr>
          <w:ilvl w:val="0"/>
          <w:numId w:val="2"/>
        </w:numPr>
        <w:spacing w:after="60" w:line="270"/>
      </w:pPr>
      <w:r>
        <w:rPr>
          <w:rFonts w:ascii="Calibri" w:cs="Calibri" w:eastAsia="Calibri" w:hAnsi="Calibri"/>
          <w:color w:val="4B5563"/>
          <w:sz w:val="21"/>
          <w:szCs w:val="21"/>
        </w:rPr>
        <w:t xml:space="preserve">TXF token drift gate: node src/sync-txf.mjs --check fails the build if the runtime bundle is out of sync with the engine source.</w:t>
      </w:r>
    </w:p>
    <w:p>
      <w:pPr>
        <w:spacing w:after="120"/>
      </w:pPr>
      <w:r>
        <w:t xml:space="preserve"/>
      </w:r>
    </w:p>
    <w:p>
      <w:pPr>
        <w:pStyle w:val="Heading1"/>
      </w:pPr>
      <w:r>
        <w:t xml:space="preserve">Updated Repository Structure</w:t>
      </w:r>
    </w:p>
    <w:p>
      <w:pPr>
        <w:spacing w:after="140" w:line="276"/>
      </w:pPr>
      <w:r>
        <w:rPr>
          <w:rFonts w:ascii="Calibri" w:cs="Calibri" w:eastAsia="Calibri" w:hAnsi="Calibri"/>
          <w:color w:val="4B5563"/>
          <w:sz w:val="21"/>
          <w:szCs w:val="21"/>
        </w:rPr>
        <w:t xml:space="preserve">The canonical layout, with the UX engine added under tools/. Product teams consume crates and SDKs from these paths; none redefine token values.</w:t>
      </w:r>
    </w:p>
    <w:p>
      <w:pPr>
        <w:spacing w:after="0" w:line="240"/>
      </w:pPr>
      <w:r>
        <w:rPr>
          <w:rFonts w:ascii="Consolas" w:cs="Consolas" w:eastAsia="Consolas" w:hAnsi="Consolas"/>
          <w:color w:val="000000"/>
          <w:sz w:val="17"/>
          <w:szCs w:val="17"/>
        </w:rPr>
        <w:t xml:space="preserve">thox-experience-fabric/</w:t>
      </w:r>
    </w:p>
    <w:p>
      <w:pPr>
        <w:spacing w:after="0" w:line="240"/>
      </w:pPr>
      <w:r>
        <w:rPr>
          <w:rFonts w:ascii="Consolas" w:cs="Consolas" w:eastAsia="Consolas" w:hAnsi="Consolas"/>
          <w:color w:val="000000"/>
          <w:sz w:val="17"/>
          <w:szCs w:val="17"/>
        </w:rPr>
        <w:t xml:space="preserve">  packages/                 Rust runtime crates (txf-core, txf-design-tokens, ...)</w:t>
      </w:r>
    </w:p>
    <w:p>
      <w:pPr>
        <w:spacing w:after="0" w:line="240"/>
      </w:pPr>
      <w:r>
        <w:rPr>
          <w:rFonts w:ascii="Consolas" w:cs="Consolas" w:eastAsia="Consolas" w:hAnsi="Consolas"/>
          <w:color w:val="000000"/>
          <w:sz w:val="17"/>
          <w:szCs w:val="17"/>
        </w:rPr>
        <w:t xml:space="preserve">  sdk/                      react, react-native, swift, kotlin, flutter, tauri,</w:t>
      </w:r>
    </w:p>
    <w:p>
      <w:pPr>
        <w:spacing w:after="0" w:line="240"/>
      </w:pPr>
      <w:r>
        <w:rPr>
          <w:rFonts w:ascii="Consolas" w:cs="Consolas" w:eastAsia="Consolas" w:hAnsi="Consolas"/>
          <w:color w:val="000000"/>
          <w:sz w:val="17"/>
          <w:szCs w:val="17"/>
        </w:rPr>
        <w:t xml:space="preserve">                            rust, web-components</w:t>
      </w:r>
    </w:p>
    <w:p>
      <w:pPr>
        <w:spacing w:after="0" w:line="240"/>
      </w:pPr>
      <w:r>
        <w:rPr>
          <w:rFonts w:ascii="Consolas" w:cs="Consolas" w:eastAsia="Consolas" w:hAnsi="Consolas"/>
          <w:color w:val="000000"/>
          <w:sz w:val="17"/>
          <w:szCs w:val="17"/>
        </w:rPr>
        <w:t xml:space="preserve">  standards/                ux, interaction, accessibility, digital-human,</w:t>
      </w:r>
    </w:p>
    <w:p>
      <w:pPr>
        <w:spacing w:after="0" w:line="240"/>
      </w:pPr>
      <w:r>
        <w:rPr>
          <w:rFonts w:ascii="Consolas" w:cs="Consolas" w:eastAsia="Consolas" w:hAnsi="Consolas"/>
          <w:color w:val="000000"/>
          <w:sz w:val="17"/>
          <w:szCs w:val="17"/>
        </w:rPr>
        <w:t xml:space="preserve">                            agent-behavior specifications</w:t>
      </w:r>
    </w:p>
    <w:p>
      <w:pPr>
        <w:spacing w:after="0" w:line="240"/>
      </w:pPr>
      <w:r>
        <w:rPr>
          <w:rFonts w:ascii="Consolas" w:cs="Consolas" w:eastAsia="Consolas" w:hAnsi="Consolas"/>
          <w:color w:val="000000"/>
          <w:sz w:val="17"/>
          <w:szCs w:val="17"/>
        </w:rPr>
        <w:t xml:space="preserve">  certification/            ux-validator, branding-validator,</w:t>
      </w:r>
    </w:p>
    <w:p>
      <w:pPr>
        <w:spacing w:after="0" w:line="240"/>
      </w:pPr>
      <w:r>
        <w:rPr>
          <w:rFonts w:ascii="Consolas" w:cs="Consolas" w:eastAsia="Consolas" w:hAnsi="Consolas"/>
          <w:color w:val="000000"/>
          <w:sz w:val="17"/>
          <w:szCs w:val="17"/>
        </w:rPr>
        <w:t xml:space="preserve">                            accessibility-validator, release-gates (thox-cert)</w:t>
      </w:r>
    </w:p>
    <w:p>
      <w:pPr>
        <w:spacing w:after="0" w:line="240"/>
      </w:pPr>
      <w:r>
        <w:rPr>
          <w:rFonts w:ascii="Consolas" w:cs="Consolas" w:eastAsia="Consolas" w:hAnsi="Consolas"/>
          <w:color w:val="000000"/>
          <w:sz w:val="17"/>
          <w:szCs w:val="17"/>
        </w:rPr>
        <w:t xml:space="preserve">  design-systems/thox-ai-txf/</w:t>
      </w:r>
    </w:p>
    <w:p>
      <w:pPr>
        <w:spacing w:after="0" w:line="240"/>
      </w:pPr>
      <w:r>
        <w:rPr>
          <w:rFonts w:ascii="Consolas" w:cs="Consolas" w:eastAsia="Consolas" w:hAnsi="Consolas"/>
          <w:color w:val="000000"/>
          <w:sz w:val="17"/>
          <w:szCs w:val="17"/>
        </w:rPr>
        <w:t xml:space="preserve">                            DESIGN, TOKENS.json (generated), COMPONENTS,</w:t>
      </w:r>
    </w:p>
    <w:p>
      <w:pPr>
        <w:spacing w:after="0" w:line="240"/>
      </w:pPr>
      <w:r>
        <w:rPr>
          <w:rFonts w:ascii="Consolas" w:cs="Consolas" w:eastAsia="Consolas" w:hAnsi="Consolas"/>
          <w:color w:val="000000"/>
          <w:sz w:val="17"/>
          <w:szCs w:val="17"/>
        </w:rPr>
        <w:t xml:space="preserve">                            NAVIGATION, AGENTS, MEMORY, DEVICES,</w:t>
      </w:r>
    </w:p>
    <w:p>
      <w:pPr>
        <w:spacing w:after="0" w:line="240"/>
      </w:pPr>
      <w:r>
        <w:rPr>
          <w:rFonts w:ascii="Consolas" w:cs="Consolas" w:eastAsia="Consolas" w:hAnsi="Consolas"/>
          <w:color w:val="000000"/>
          <w:sz w:val="17"/>
          <w:szCs w:val="17"/>
        </w:rPr>
        <w:t xml:space="preserve">                            DIGITAL-HUMANS, ACCESSIBILITY, CERTIFICATION,</w:t>
      </w:r>
    </w:p>
    <w:p>
      <w:pPr>
        <w:spacing w:after="0" w:line="240"/>
      </w:pPr>
      <w:r>
        <w:rPr>
          <w:rFonts w:ascii="Consolas" w:cs="Consolas" w:eastAsia="Consolas" w:hAnsi="Consolas"/>
          <w:color w:val="000000"/>
          <w:sz w:val="17"/>
          <w:szCs w:val="17"/>
        </w:rPr>
        <w:t xml:space="preserve">                            MANIFEST.schema.json</w:t>
      </w:r>
    </w:p>
    <w:p>
      <w:pPr>
        <w:spacing w:after="0" w:line="240"/>
      </w:pPr>
      <w:r>
        <w:rPr>
          <w:rFonts w:ascii="Consolas" w:cs="Consolas" w:eastAsia="Consolas" w:hAnsi="Consolas"/>
          <w:color w:val="000000"/>
          <w:sz w:val="17"/>
          <w:szCs w:val="17"/>
        </w:rPr>
        <w:t xml:space="preserve">  tools/ux-engine/          @thox/txf-ux-engine: token source of truth + gates</w:t>
      </w:r>
    </w:p>
    <w:p>
      <w:pPr>
        <w:spacing w:after="0" w:line="240"/>
      </w:pPr>
      <w:r>
        <w:rPr>
          <w:rFonts w:ascii="Consolas" w:cs="Consolas" w:eastAsia="Consolas" w:hAnsi="Consolas"/>
          <w:color w:val="000000"/>
          <w:sz w:val="17"/>
          <w:szCs w:val="17"/>
        </w:rPr>
        <w:t xml:space="preserve">                            tokens/  src/  contracts/  packages/react/  dist/</w:t>
      </w:r>
    </w:p>
    <w:p>
      <w:pPr>
        <w:spacing w:after="0" w:line="240"/>
      </w:pPr>
      <w:r>
        <w:rPr>
          <w:rFonts w:ascii="Consolas" w:cs="Consolas" w:eastAsia="Consolas" w:hAnsi="Consolas"/>
          <w:color w:val="000000"/>
          <w:sz w:val="17"/>
          <w:szCs w:val="17"/>
        </w:rPr>
        <w:t xml:space="preserve">                            STANDARDIZATION.md</w:t>
      </w:r>
    </w:p>
    <w:p>
      <w:pPr>
        <w:spacing w:after="0" w:line="240"/>
      </w:pPr>
      <w:r>
        <w:rPr>
          <w:rFonts w:ascii="Consolas" w:cs="Consolas" w:eastAsia="Consolas" w:hAnsi="Consolas"/>
          <w:color w:val="000000"/>
          <w:sz w:val="17"/>
          <w:szCs w:val="17"/>
        </w:rPr>
        <w:t xml:space="preserve">  docs/adr/                 ADRs 0001 - 0005</w:t>
      </w:r>
    </w:p>
    <w:p>
      <w:pPr>
        <w:spacing w:after="0" w:line="240"/>
      </w:pPr>
      <w:r>
        <w:rPr>
          <w:rFonts w:ascii="Consolas" w:cs="Consolas" w:eastAsia="Consolas" w:hAnsi="Consolas"/>
          <w:color w:val="000000"/>
          <w:sz w:val="17"/>
          <w:szCs w:val="17"/>
        </w:rPr>
        <w:t xml:space="preserve">  docs/strategy/            executive strategy document (.docx)</w:t>
      </w:r>
    </w:p>
    <w:p>
      <w:pPr>
        <w:spacing w:after="0" w:line="240"/>
      </w:pPr>
      <w:r>
        <w:rPr>
          <w:rFonts w:ascii="Consolas" w:cs="Consolas" w:eastAsia="Consolas" w:hAnsi="Consolas"/>
          <w:color w:val="000000"/>
          <w:sz w:val="17"/>
          <w:szCs w:val="17"/>
        </w:rPr>
        <w:t xml:space="preserve">  assets/  .github/workflows/  Cargo.toml  package.json</w:t>
      </w:r>
    </w:p>
    <w:p>
      <w:pPr>
        <w:spacing w:after="120"/>
      </w:pPr>
      <w:r>
        <w:t xml:space="preserve"/>
      </w:r>
    </w:p>
    <w:p>
      <w:pPr>
        <w:pStyle w:val="Heading1"/>
      </w:pPr>
      <w:r>
        <w:t xml:space="preserve">Platform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Platform</w:t>
            </w:r>
          </w:p>
        </w:tc>
        <w:tc>
          <w:tcPr>
            <w:tcW w:type="dxa" w:w="35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Artifact</w:t>
            </w:r>
          </w:p>
        </w:tc>
        <w:tc>
          <w:tcPr>
            <w:tcW w:type="dxa" w:w="38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Consumption</w:t>
            </w:r>
          </w:p>
        </w:tc>
      </w:tr>
      <w:tr>
        <w:tc>
          <w:tcPr>
            <w:tcW w:type="dxa" w:w="2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Web (Next.js)</w:t>
            </w:r>
          </w:p>
        </w:tc>
        <w:tc>
          <w:tcPr>
            <w:tcW w:type="dxa" w:w="3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thox-tokens.css + tailwind-preset.cjs</w:t>
            </w:r>
          </w:p>
        </w:tc>
        <w:tc>
          <w:tcPr>
            <w:tcW w:type="dxa" w:w="3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Import CSS at root; add preset; switch themes with data-theme</w:t>
            </w:r>
          </w:p>
        </w:tc>
      </w:tr>
      <w:tr>
        <w:tc>
          <w:tcPr>
            <w:tcW w:type="dxa" w:w="2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React primitives</w:t>
            </w:r>
          </w:p>
        </w:tc>
        <w:tc>
          <w:tcPr>
            <w:tcW w:type="dxa" w:w="35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packages/react/ThoxButton.tsx</w:t>
            </w:r>
          </w:p>
        </w:tc>
        <w:tc>
          <w:tcPr>
            <w:tcW w:type="dxa" w:w="38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Bind only to generated CSS variables</w:t>
            </w:r>
          </w:p>
        </w:tc>
      </w:tr>
      <w:tr>
        <w:tc>
          <w:tcPr>
            <w:tcW w:type="dxa" w:w="2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iOS / macOS</w:t>
            </w:r>
          </w:p>
        </w:tc>
        <w:tc>
          <w:tcPr>
            <w:tcW w:type="dxa" w:w="3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ThoxTokens.swift</w:t>
            </w:r>
          </w:p>
        </w:tc>
        <w:tc>
          <w:tcPr>
            <w:tcW w:type="dxa" w:w="3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Vend Color and dimension constants via a ButtonStyle</w:t>
            </w:r>
          </w:p>
        </w:tc>
      </w:tr>
      <w:tr>
        <w:tc>
          <w:tcPr>
            <w:tcW w:type="dxa" w:w="2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Android</w:t>
            </w:r>
          </w:p>
        </w:tc>
        <w:tc>
          <w:tcPr>
            <w:tcW w:type="dxa" w:w="35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ThoxTokens.kt</w:t>
            </w:r>
          </w:p>
        </w:tc>
        <w:tc>
          <w:tcPr>
            <w:tcW w:type="dxa" w:w="38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Color and Dp constants for Compose</w:t>
            </w:r>
          </w:p>
        </w:tc>
      </w:tr>
      <w:tr>
        <w:tc>
          <w:tcPr>
            <w:tcW w:type="dxa" w:w="2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ThoxOS device UI</w:t>
            </w:r>
          </w:p>
        </w:tc>
        <w:tc>
          <w:tcPr>
            <w:tcW w:type="dxa" w:w="3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thox_tokens.rs</w:t>
            </w:r>
          </w:p>
        </w:tc>
        <w:tc>
          <w:tcPr>
            <w:tcW w:type="dxa" w:w="3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Hex and RGBA constants for the device renderer</w:t>
            </w:r>
          </w:p>
        </w:tc>
      </w:tr>
      <w:tr>
        <w:tc>
          <w:tcPr>
            <w:tcW w:type="dxa" w:w="20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runtime</w:t>
            </w:r>
          </w:p>
        </w:tc>
        <w:tc>
          <w:tcPr>
            <w:tcW w:type="dxa" w:w="35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design-systems/thox-ai-txf/TOKENS.json</w:t>
            </w:r>
          </w:p>
        </w:tc>
        <w:tc>
          <w:tcPr>
            <w:tcW w:type="dxa" w:w="38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txf-design-tokens crate deserializes the flat v2.0 schema</w:t>
            </w:r>
          </w:p>
        </w:tc>
      </w:tr>
      <w:tr>
        <w:tc>
          <w:tcPr>
            <w:tcW w:type="dxa" w:w="2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Figma</w:t>
            </w:r>
          </w:p>
        </w:tc>
        <w:tc>
          <w:tcPr>
            <w:tcW w:type="dxa" w:w="35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thox.tokens.json</w:t>
            </w:r>
          </w:p>
        </w:tc>
        <w:tc>
          <w:tcPr>
            <w:tcW w:type="dxa" w:w="38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Tokens Studio import, one set per theme</w:t>
            </w:r>
          </w:p>
        </w:tc>
      </w:tr>
    </w:tbl>
    <w:p>
      <w:pPr>
        <w:spacing w:after="120"/>
      </w:pPr>
      <w:r>
        <w:t xml:space="preserve"/>
      </w:r>
    </w:p>
    <w:p>
      <w:pPr>
        <w:pStyle w:val="Heading1"/>
      </w:pPr>
      <w:r>
        <w:t xml:space="preserve">Adoption and Migration</w:t>
      </w:r>
    </w:p>
    <w:p>
      <w:pPr>
        <w:spacing w:after="140" w:line="276"/>
      </w:pPr>
      <w:r>
        <w:rPr>
          <w:rFonts w:ascii="Calibri" w:cs="Calibri" w:eastAsia="Calibri" w:hAnsi="Calibri"/>
          <w:color w:val="4B5563"/>
          <w:sz w:val="21"/>
          <w:szCs w:val="21"/>
        </w:rPr>
        <w:t xml:space="preserve">The integration is staged so the second source of truth is retired without disrupting product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60"/>
        <w:gridCol w:w="2400"/>
      </w:tblGrid>
      <w:tr>
        <w:trPr>
          <w:tblHeader/>
        </w:trPr>
        <w:tc>
          <w:tcPr>
            <w:tcW w:type="dxa" w:w="7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Phase</w:t>
            </w:r>
          </w:p>
        </w:tc>
        <w:tc>
          <w:tcPr>
            <w:tcW w:type="dxa" w:w="62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Action</w:t>
            </w:r>
          </w:p>
        </w:tc>
        <w:tc>
          <w:tcPr>
            <w:tcW w:type="dxa" w:w="24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Status</w:t>
            </w:r>
          </w:p>
        </w:tc>
      </w:tr>
      <w:tr>
        <w:tc>
          <w:tcPr>
            <w:tcW w:type="dxa" w:w="7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1</w:t>
            </w:r>
          </w:p>
        </w:tc>
        <w:tc>
          <w:tcPr>
            <w:tcW w:type="dxa" w:w="62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Land the engine and wire the four gates plus the token drift gate into CI</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Complete</w:t>
            </w:r>
          </w:p>
        </w:tc>
      </w:tr>
      <w:tr>
        <w:tc>
          <w:tcPr>
            <w:tcW w:type="dxa" w:w="7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2</w:t>
            </w:r>
          </w:p>
        </w:tc>
        <w:tc>
          <w:tcPr>
            <w:tcW w:type="dxa" w:w="62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Generate TOKENS.json from the engine; remove hand-editing</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Complete</w:t>
            </w:r>
          </w:p>
        </w:tc>
      </w:tr>
      <w:tr>
        <w:tc>
          <w:tcPr>
            <w:tcW w:type="dxa" w:w="7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3</w:t>
            </w:r>
          </w:p>
        </w:tc>
        <w:tc>
          <w:tcPr>
            <w:tcW w:type="dxa" w:w="62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Repoint web and dashboard at dist/web; adopt ThoxButton</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Planned</w:t>
            </w:r>
          </w:p>
        </w:tc>
      </w:tr>
      <w:tr>
        <w:tc>
          <w:tcPr>
            <w:tcW w:type="dxa" w:w="7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4</w:t>
            </w:r>
          </w:p>
        </w:tc>
        <w:tc>
          <w:tcPr>
            <w:tcW w:type="dxa" w:w="62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Repoint native SDKs at emitted Swift, Kotlin, and Rust constants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Planned</w:t>
            </w:r>
          </w:p>
        </w:tc>
      </w:tr>
      <w:tr>
        <w:tc>
          <w:tcPr>
            <w:tcW w:type="dxa" w:w="7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5</w:t>
            </w:r>
          </w:p>
        </w:tc>
        <w:tc>
          <w:tcPr>
            <w:tcW w:type="dxa" w:w="62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Lift remaining components from the inventory into contracts</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Planned</w:t>
            </w:r>
          </w:p>
        </w:tc>
      </w:tr>
    </w:tbl>
    <w:p>
      <w:pPr>
        <w:spacing w:after="120"/>
      </w:pPr>
      <w:r>
        <w:t xml:space="preserve"/>
      </w:r>
    </w:p>
    <w:p>
      <w:pPr>
        <w:pStyle w:val="Heading1"/>
      </w:pPr>
      <w:r>
        <w:t xml:space="preserve">Governance</w:t>
      </w:r>
    </w:p>
    <w:p>
      <w:pPr>
        <w:spacing w:after="140" w:line="276"/>
      </w:pPr>
      <w:r>
        <w:rPr>
          <w:rFonts w:ascii="Calibri" w:cs="Calibri" w:eastAsia="Calibri" w:hAnsi="Calibri"/>
          <w:color w:val="4B5563"/>
          <w:sz w:val="21"/>
          <w:szCs w:val="21"/>
        </w:rPr>
        <w:t xml:space="preserve">Ownership mirrors the TXF strategy document. Token-source changes at the brand level require Executive Sponsor sign-off; structural and additive changes follow the ADR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Executive Sponsor</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Craig Ross</w:t>
            </w:r>
          </w:p>
        </w:tc>
      </w:tr>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Experience Architecture</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Tommy Xaypanya (Phamy)</w:t>
            </w:r>
          </w:p>
        </w:tc>
      </w:tr>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Token Source of Truth</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Platform Engineering (tools/ux-engine)</w:t>
            </w:r>
          </w:p>
        </w:tc>
      </w:tr>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Gate Operations</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Per-product CI owners; rules owned by TXF Platform Engineering</w:t>
            </w:r>
          </w:p>
        </w:tc>
      </w:tr>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Review Cycle</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Quarterly TXF Review with Executive Sponsor and Product Council</w:t>
            </w:r>
          </w:p>
        </w:tc>
      </w:tr>
      <w:tr>
        <w:tc>
          <w:tcPr>
            <w:tcW w:type="dxa" w:w="33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Decision Record</w:t>
            </w:r>
          </w:p>
        </w:tc>
        <w:tc>
          <w:tcPr>
            <w:tcW w:type="dxa" w:w="60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Architecture Decision Records in docs/adr/ (ADR-0005 covers this work)</w:t>
            </w:r>
          </w:p>
        </w:tc>
      </w:tr>
    </w:tbl>
    <w:p>
      <w:pPr>
        <w:spacing w:after="120"/>
      </w:pPr>
      <w:r>
        <w:t xml:space="preserve"/>
      </w:r>
    </w:p>
    <w:p>
      <w:pPr>
        <w:pStyle w:val="Heading1"/>
      </w:pPr>
      <w:r>
        <w:t xml:space="preserve">Verification Status</w:t>
      </w:r>
    </w:p>
    <w:p>
      <w:pPr>
        <w:spacing w:after="140" w:line="276"/>
      </w:pPr>
      <w:r>
        <w:rPr>
          <w:rFonts w:ascii="Calibri" w:cs="Calibri" w:eastAsia="Calibri" w:hAnsi="Calibri"/>
          <w:color w:val="4B5563"/>
          <w:sz w:val="21"/>
          <w:szCs w:val="21"/>
        </w:rPr>
        <w:t xml:space="preserve">The Node engine was built and verified in full at integration time. The Rust workspace is unaffected: the generated bundle is the same flat v2.0 schema, value-preserving, so txf-design-tokens deserializes it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Check</w:t>
            </w:r>
          </w:p>
        </w:tc>
        <w:tc>
          <w:tcPr>
            <w:tcW w:type="dxa" w:w="41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Result</w:t>
            </w:r>
          </w:p>
        </w:tc>
      </w:tr>
      <w:tr>
        <w:tc>
          <w:tcPr>
            <w:tcW w:type="dxa" w:w="5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Engine build (all platform artifacts)</w:t>
            </w:r>
          </w:p>
        </w:tc>
        <w:tc>
          <w:tcPr>
            <w:tcW w:type="dxa" w:w="4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w:t>
            </w:r>
          </w:p>
        </w:tc>
      </w:tr>
      <w:tr>
        <w:tc>
          <w:tcPr>
            <w:tcW w:type="dxa" w:w="5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Forbidden-pattern gate</w:t>
            </w:r>
          </w:p>
        </w:tc>
        <w:tc>
          <w:tcPr>
            <w:tcW w:type="dxa" w:w="4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0 errors, 0 warnings</w:t>
            </w:r>
          </w:p>
        </w:tc>
      </w:tr>
      <w:tr>
        <w:tc>
          <w:tcPr>
            <w:tcW w:type="dxa" w:w="5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Contrast gate (WCAG 2.1 AA)</w:t>
            </w:r>
          </w:p>
        </w:tc>
        <w:tc>
          <w:tcPr>
            <w:tcW w:type="dxa" w:w="4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0 failing pairs across 3 themes</w:t>
            </w:r>
          </w:p>
        </w:tc>
      </w:tr>
      <w:tr>
        <w:tc>
          <w:tcPr>
            <w:tcW w:type="dxa" w:w="5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Component-contract gate</w:t>
            </w:r>
          </w:p>
        </w:tc>
        <w:tc>
          <w:tcPr>
            <w:tcW w:type="dxa" w:w="4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4 contracts, 0 errors</w:t>
            </w:r>
          </w:p>
        </w:tc>
      </w:tr>
      <w:tr>
        <w:tc>
          <w:tcPr>
            <w:tcW w:type="dxa" w:w="5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Dist drift gate</w:t>
            </w:r>
          </w:p>
        </w:tc>
        <w:tc>
          <w:tcPr>
            <w:tcW w:type="dxa" w:w="4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clean</w:t>
            </w:r>
          </w:p>
        </w:tc>
      </w:tr>
      <w:tr>
        <w:tc>
          <w:tcPr>
            <w:tcW w:type="dxa" w:w="5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token drift gate</w:t>
            </w:r>
          </w:p>
        </w:tc>
        <w:tc>
          <w:tcPr>
            <w:tcW w:type="dxa" w:w="4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in sync with engine source</w:t>
            </w:r>
          </w:p>
        </w:tc>
      </w:tr>
      <w:tr>
        <w:tc>
          <w:tcPr>
            <w:tcW w:type="dxa" w:w="5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Unit tests</w:t>
            </w:r>
          </w:p>
        </w:tc>
        <w:tc>
          <w:tcPr>
            <w:tcW w:type="dxa" w:w="4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17 of 17</w:t>
            </w:r>
          </w:p>
        </w:tc>
      </w:tr>
      <w:tr>
        <w:tc>
          <w:tcPr>
            <w:tcW w:type="dxa" w:w="5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Repo-wide forbidden sweep</w:t>
            </w:r>
          </w:p>
        </w:tc>
        <w:tc>
          <w:tcPr>
            <w:tcW w:type="dxa" w:w="41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Pass, 0 errors, 0 warnings</w:t>
            </w:r>
          </w:p>
        </w:tc>
      </w:tr>
      <w:tr>
        <w:tc>
          <w:tcPr>
            <w:tcW w:type="dxa" w:w="5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TOKENS.json value preservation</w:t>
            </w:r>
          </w:p>
        </w:tc>
        <w:tc>
          <w:tcPr>
            <w:tcW w:type="dxa" w:w="41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Confirmed semantically equal to prior bundle</w:t>
            </w:r>
          </w:p>
        </w:tc>
      </w:tr>
    </w:tbl>
    <w:p>
      <w:pPr>
        <w:spacing w:after="120"/>
      </w:pPr>
      <w:r>
        <w:t xml:space="preserve"/>
      </w:r>
    </w:p>
    <w:p>
      <w:pPr>
        <w:pStyle w:val="Heading1"/>
      </w:pPr>
      <w:r>
        <w:t xml:space="preserve">Appendix A - Companion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Artifact</w:t>
            </w:r>
          </w:p>
        </w:tc>
        <w:tc>
          <w:tcPr>
            <w:tcW w:type="dxa" w:w="476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Path</w:t>
            </w:r>
          </w:p>
        </w:tc>
        <w:tc>
          <w:tcPr>
            <w:tcW w:type="dxa" w:w="24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Purpose</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UX engine</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 source of truth and gate engine</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Token source</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tools/ux-engine/tokens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Authored core primitives and semantic themes</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overrides</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tools/ux-engine/tokens/targets/txf-v2.overrides.json</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TXF-specific structural scales (single authoring point)</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TXF projection</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tools/ux-engine/src/emit/txf.mjs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Generates the TXF v2.0 runtime bundle</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Sync and drift</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tools/ux-engine/src/sync-txf.mjs</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Writes and drift-gates TOKENS.json</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Standardization</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tools/ux-engine/STANDARDIZATION.md</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Full enforcement mechanism reference</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Generated bundle</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design-systems/thox-ai-txf/TOKENS.json</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Consumed by the Rust crate and all SDKs</w:t>
            </w:r>
          </w:p>
        </w:tc>
      </w:tr>
      <w:tr>
        <w:tc>
          <w:tcPr>
            <w:tcW w:type="dxa" w:w="22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Decision record</w:t>
            </w:r>
          </w:p>
        </w:tc>
        <w:tc>
          <w:tcPr>
            <w:tcW w:type="dxa" w:w="476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docs/adr/0005-ux-engine-token-source-of-truth.md</w:t>
            </w:r>
          </w:p>
        </w:tc>
        <w:tc>
          <w:tcPr>
            <w:tcW w:type="dxa" w:w="2400"/>
            <w:tcBorders>
              <w:top w:val="single" w:color="D1D5DB" w:sz="4"/>
              <w:left w:val="single" w:color="D1D5DB" w:sz="4"/>
              <w:bottom w:val="single" w:color="D1D5DB" w:sz="4"/>
              <w:right w:val="single" w:color="D1D5DB" w:sz="4"/>
            </w:tcBorders>
            <w:shd w:fill="FAFAFA" w:val="clear"/>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Records the integration decision</w:t>
            </w:r>
          </w:p>
        </w:tc>
      </w:tr>
      <w:tr>
        <w:tc>
          <w:tcPr>
            <w:tcW w:type="dxa" w:w="22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CI job</w:t>
            </w:r>
          </w:p>
        </w:tc>
        <w:tc>
          <w:tcPr>
            <w:tcW w:type="dxa" w:w="4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.github/workflows/ci.yml (ux-engine)</w:t>
            </w:r>
          </w:p>
        </w:tc>
        <w:tc>
          <w:tcPr>
            <w:tcW w:type="dxa" w:w="240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Build, verify, test, drift gate per PR</w:t>
            </w:r>
          </w:p>
        </w:tc>
      </w:tr>
    </w:tbl>
    <w:p>
      <w:pPr>
        <w:spacing w:after="120"/>
      </w:pPr>
      <w:r>
        <w:t xml:space="preserve"/>
      </w:r>
    </w:p>
    <w:p>
      <w:pPr>
        <w:pStyle w:val="Heading1"/>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UX engine</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tools/ux-engine; the single source of truth for design tokens and the gate engine</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Token projection</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Deriving the flat TXF v2.0 bundle from the engine token tree</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Drift gate</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 CI check that rebuilds artifacts and rejects any hand-edited divergence</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Surface scoping</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Per-file rule strictness: public, internal, or magstack</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Experience Score</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0-100 score returned by thox-cert that gates release</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MagStack purple</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Reserved accent, exclusive to MagStack and MeshStack visualizations</w:t>
            </w:r>
          </w:p>
        </w:tc>
      </w:tr>
      <w:tr>
        <w:tc>
          <w:tcPr>
            <w:tcW w:type="dxa" w:w="2600"/>
            <w:tcBorders>
              <w:top w:val="single" w:color="D1D5DB" w:sz="4"/>
              <w:left w:val="single" w:color="D1D5DB" w:sz="4"/>
              <w:bottom w:val="single" w:color="D1D5DB" w:sz="4"/>
              <w:right w:val="single" w:color="D1D5DB" w:sz="4"/>
            </w:tcBorders>
            <w:shd w:fill="F3F4F6" w:val="clear"/>
            <w:tcMar>
              <w:top w:type="dxa" w:w="60"/>
              <w:left w:type="dxa" w:w="120"/>
              <w:bottom w:type="dxa" w:w="60"/>
              <w:right w:type="dxa" w:w="120"/>
            </w:tcMar>
          </w:tcPr>
          <w:p>
            <w:pPr>
              <w:spacing w:after="0"/>
            </w:pPr>
            <w:r>
              <w:rPr>
                <w:rFonts w:ascii="Calibri" w:cs="Calibri" w:eastAsia="Calibri" w:hAnsi="Calibri"/>
                <w:b/>
                <w:bCs/>
                <w:color w:val="000000"/>
                <w:sz w:val="19"/>
                <w:szCs w:val="19"/>
              </w:rPr>
              <w:t xml:space="preserve">ADR</w:t>
            </w:r>
          </w:p>
        </w:tc>
        <w:tc>
          <w:tcPr>
            <w:tcW w:type="dxa" w:w="6760"/>
            <w:tcBorders>
              <w:top w:val="single" w:color="D1D5DB" w:sz="4"/>
              <w:left w:val="single" w:color="D1D5DB" w:sz="4"/>
              <w:bottom w:val="single" w:color="D1D5DB" w:sz="4"/>
              <w:right w:val="single" w:color="D1D5DB"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4B5563"/>
                <w:sz w:val="19"/>
                <w:szCs w:val="19"/>
              </w:rPr>
              <w:t xml:space="preserve">Architecture Decision Record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4"/>
      </w:pBdr>
      <w:tabs>
        <w:tab w:val="right" w:pos="9360"/>
      </w:tabs>
    </w:pPr>
    <w:r>
      <w:rPr>
        <w:rFonts w:ascii="Calibri" w:cs="Calibri" w:eastAsia="Calibri" w:hAnsi="Calibri"/>
        <w:color w:val="6B7280"/>
        <w:sz w:val="16"/>
        <w:szCs w:val="16"/>
      </w:rPr>
      <w:t xml:space="preserve">THOX.AI LLC - CONFIDENTIAL   /   TXF v0.2.0   /   IP-024</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6" w:space="4"/>
      </w:pBdr>
      <w:tabs>
        <w:tab w:val="right" w:pos="9360"/>
      </w:tabs>
    </w:pPr>
    <w:r>
      <w:rPr>
        <w:rFonts w:ascii="Calibri" w:cs="Calibri" w:eastAsia="Calibri" w:hAnsi="Calibri"/>
        <w:b/>
        <w:bCs/>
        <w:color w:val="059669"/>
        <w:sz w:val="18"/>
        <w:szCs w:val="18"/>
      </w:rPr>
      <w:t xml:space="preserve">THOX.ai</w:t>
    </w:r>
    <w:r>
      <w:rPr>
        <w:rFonts w:ascii="Calibri" w:cs="Calibri" w:eastAsia="Calibri" w:hAnsi="Calibri"/>
        <w:color w:val="6B7280"/>
        <w:sz w:val="18"/>
        <w:szCs w:val="18"/>
      </w:rPr>
      <w:t xml:space="preserve">   TXF UX Engine Integration</w:t>
    </w:r>
    <w:r>
      <w:rPr>
        <w:rFonts w:ascii="Calibri" w:cs="Calibri" w:eastAsia="Calibri" w:hAnsi="Calibri"/>
        <w:color w:val="6B7280"/>
        <w:sz w:val="18"/>
        <w:szCs w:val="18"/>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55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B981" w:sz="6" w:space="4"/>
      </w:pBdr>
      <w:spacing w:after="160" w:before="3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059669"/>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80660be1a30972713ce7249747ffd70903050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THOX Experience Fabric - UX Engine Integration and Repository Reference</dc:title>
  <dc:creator>THOX.ai Product Architecture Team</dc:creator>
  <dc:description>Internal reference document, TXF v0.2.0</dc:description>
  <cp:lastModifiedBy>Un-named</cp:lastModifiedBy>
  <cp:revision>1</cp:revision>
  <dcterms:created xsi:type="dcterms:W3CDTF">2026-06-06T23:54:55.843Z</dcterms:created>
  <dcterms:modified xsi:type="dcterms:W3CDTF">2026-06-06T23:54:55.843Z</dcterms:modified>
</cp:coreProperties>
</file>

<file path=docProps/custom.xml><?xml version="1.0" encoding="utf-8"?>
<Properties xmlns="http://schemas.openxmlformats.org/officeDocument/2006/custom-properties" xmlns:vt="http://schemas.openxmlformats.org/officeDocument/2006/docPropsVTypes"/>
</file>