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eastAsia"/>
          <w:lang w:val="en-US" w:eastAsia="zh-CN"/>
        </w:rPr>
      </w:pPr>
    </w:p>
    <w:p>
      <w:pPr>
        <w:spacing w:line="240" w:lineRule="atLeast"/>
        <w:ind w:left="0" w:leftChars="0" w:firstLine="0" w:firstLineChars="0"/>
        <w:jc w:val="both"/>
        <w:rPr>
          <w:rFonts w:hint="eastAsia" w:ascii="仿宋" w:hAnsi="仿宋" w:eastAsia="仿宋" w:cs="仿宋"/>
          <w:b/>
          <w:bCs w:val="0"/>
          <w:sz w:val="44"/>
          <w:szCs w:val="44"/>
        </w:rPr>
      </w:pPr>
    </w:p>
    <w:p>
      <w:pPr>
        <w:pStyle w:val="11"/>
        <w:ind w:left="0" w:leftChars="0" w:firstLine="0" w:firstLineChars="0"/>
        <w:rPr>
          <w:rFonts w:hint="eastAsia" w:ascii="仿宋" w:hAnsi="仿宋" w:eastAsia="仿宋" w:cs="仿宋"/>
          <w:b/>
          <w:bCs w:val="0"/>
          <w:sz w:val="44"/>
          <w:szCs w:val="44"/>
        </w:rPr>
      </w:pPr>
    </w:p>
    <w:p>
      <w:pPr>
        <w:spacing w:line="360" w:lineRule="auto"/>
        <w:ind w:left="0" w:leftChars="0" w:firstLine="0" w:firstLineChars="0"/>
        <w:jc w:val="center"/>
        <w:rPr>
          <w:rFonts w:hint="default" w:ascii="仿宋" w:hAnsi="仿宋" w:eastAsia="仿宋" w:cs="仿宋"/>
          <w:b/>
          <w:bCs w:val="0"/>
          <w:sz w:val="52"/>
          <w:szCs w:val="52"/>
          <w:lang w:val="en-US" w:eastAsia="zh-CN"/>
        </w:rPr>
      </w:pPr>
      <w:r>
        <w:rPr>
          <w:rFonts w:hint="eastAsia" w:ascii="仿宋" w:hAnsi="仿宋" w:cs="仿宋"/>
          <w:b/>
          <w:bCs/>
          <w:sz w:val="56"/>
          <w:szCs w:val="56"/>
        </w:rPr>
        <w:t>新朔铁路智慧化仓储管理、仓库智慧化出入库项目</w:t>
      </w:r>
    </w:p>
    <w:p>
      <w:pPr>
        <w:spacing w:line="360" w:lineRule="auto"/>
        <w:ind w:left="0" w:leftChars="0" w:firstLine="0" w:firstLineChars="0"/>
        <w:jc w:val="center"/>
        <w:rPr>
          <w:rFonts w:hint="eastAsia" w:ascii="仿宋" w:hAnsi="仿宋" w:eastAsia="仿宋" w:cs="仿宋"/>
          <w:b/>
          <w:bCs w:val="0"/>
          <w:sz w:val="44"/>
          <w:szCs w:val="44"/>
        </w:rPr>
      </w:pPr>
    </w:p>
    <w:p>
      <w:pPr>
        <w:spacing w:line="360" w:lineRule="auto"/>
        <w:ind w:left="0" w:leftChars="0" w:firstLine="0" w:firstLineChars="0"/>
        <w:jc w:val="center"/>
        <w:rPr>
          <w:rFonts w:hint="eastAsia" w:ascii="仿宋" w:hAnsi="仿宋" w:eastAsia="仿宋" w:cs="仿宋"/>
          <w:b/>
          <w:bCs w:val="0"/>
          <w:sz w:val="48"/>
          <w:szCs w:val="48"/>
        </w:rPr>
      </w:pPr>
    </w:p>
    <w:p>
      <w:pPr>
        <w:spacing w:line="360" w:lineRule="auto"/>
        <w:ind w:left="0" w:leftChars="0" w:firstLine="0" w:firstLineChars="0"/>
        <w:jc w:val="center"/>
        <w:rPr>
          <w:rFonts w:hint="eastAsia" w:ascii="仿宋" w:hAnsi="仿宋" w:eastAsia="仿宋" w:cs="仿宋"/>
          <w:b/>
          <w:bCs w:val="0"/>
          <w:sz w:val="48"/>
          <w:szCs w:val="48"/>
        </w:rPr>
      </w:pPr>
    </w:p>
    <w:p>
      <w:pPr>
        <w:spacing w:line="360" w:lineRule="auto"/>
        <w:ind w:left="0" w:leftChars="0" w:firstLine="0" w:firstLineChars="0"/>
        <w:jc w:val="center"/>
        <w:rPr>
          <w:rFonts w:hint="eastAsia" w:ascii="黑体" w:hAnsi="黑体" w:eastAsia="仿宋" w:cs="黑体"/>
          <w:b/>
          <w:bCs w:val="0"/>
          <w:sz w:val="48"/>
          <w:szCs w:val="48"/>
          <w:lang w:val="en-US" w:eastAsia="zh-CN"/>
        </w:rPr>
      </w:pPr>
      <w:r>
        <w:rPr>
          <w:rFonts w:hint="eastAsia" w:ascii="仿宋" w:hAnsi="仿宋" w:cs="仿宋"/>
          <w:b/>
          <w:sz w:val="48"/>
          <w:szCs w:val="48"/>
          <w:lang w:val="en-US" w:eastAsia="zh-CN"/>
        </w:rPr>
        <w:t>机务库WMS系统</w:t>
      </w:r>
      <w:r>
        <w:rPr>
          <w:rFonts w:hint="eastAsia" w:ascii="仿宋" w:hAnsi="仿宋" w:eastAsia="仿宋" w:cs="仿宋"/>
          <w:b/>
          <w:sz w:val="48"/>
          <w:szCs w:val="48"/>
        </w:rPr>
        <w:t>技术</w:t>
      </w:r>
      <w:r>
        <w:rPr>
          <w:rFonts w:hint="eastAsia" w:ascii="仿宋" w:hAnsi="仿宋" w:cs="仿宋"/>
          <w:b/>
          <w:sz w:val="48"/>
          <w:szCs w:val="48"/>
          <w:lang w:val="en-US" w:eastAsia="zh-CN"/>
        </w:rPr>
        <w:t>协议</w:t>
      </w:r>
    </w:p>
    <w:p>
      <w:pPr>
        <w:spacing w:line="240" w:lineRule="atLeast"/>
        <w:ind w:left="0" w:leftChars="0" w:firstLine="0" w:firstLineChars="0"/>
        <w:jc w:val="center"/>
        <w:rPr>
          <w:rFonts w:hint="eastAsia" w:ascii="黑体" w:hAnsi="黑体" w:eastAsia="黑体" w:cs="黑体"/>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spacing w:line="240" w:lineRule="atLeast"/>
        <w:ind w:left="0" w:leftChars="0" w:firstLine="0" w:firstLineChars="0"/>
        <w:jc w:val="center"/>
        <w:rPr>
          <w:rFonts w:hint="eastAsia" w:ascii="仿宋" w:hAnsi="仿宋" w:eastAsia="仿宋" w:cs="仿宋"/>
          <w:sz w:val="22"/>
        </w:rPr>
      </w:pPr>
    </w:p>
    <w:p>
      <w:pPr>
        <w:pStyle w:val="11"/>
        <w:rPr>
          <w:rFonts w:hint="eastAsia" w:ascii="仿宋" w:hAnsi="仿宋" w:eastAsia="仿宋" w:cs="仿宋"/>
          <w:sz w:val="22"/>
        </w:rPr>
      </w:pPr>
    </w:p>
    <w:p>
      <w:pPr>
        <w:pStyle w:val="11"/>
        <w:ind w:left="0" w:leftChars="0" w:firstLine="0" w:firstLineChars="0"/>
        <w:rPr>
          <w:rFonts w:hint="eastAsia"/>
        </w:rPr>
      </w:pPr>
    </w:p>
    <w:p>
      <w:pPr>
        <w:spacing w:line="240" w:lineRule="atLeast"/>
        <w:ind w:left="0" w:leftChars="0" w:firstLine="0" w:firstLineChars="0"/>
        <w:jc w:val="both"/>
        <w:rPr>
          <w:rFonts w:hint="eastAsia" w:ascii="仿宋" w:hAnsi="仿宋" w:eastAsia="仿宋" w:cs="仿宋"/>
          <w:sz w:val="22"/>
        </w:rPr>
      </w:pPr>
    </w:p>
    <w:p>
      <w:pPr>
        <w:bidi w:val="0"/>
        <w:ind w:left="0" w:leftChars="0" w:firstLine="0" w:firstLineChars="0"/>
        <w:jc w:val="center"/>
        <w:rPr>
          <w:rFonts w:hint="eastAsia"/>
          <w:sz w:val="30"/>
          <w:szCs w:val="30"/>
        </w:rPr>
      </w:pPr>
      <w:r>
        <w:rPr>
          <w:rFonts w:hint="eastAsia"/>
          <w:sz w:val="30"/>
          <w:szCs w:val="30"/>
          <w:lang w:val="en-US" w:eastAsia="zh-CN"/>
        </w:rPr>
        <w:t>甲方</w:t>
      </w:r>
      <w:r>
        <w:rPr>
          <w:rFonts w:hint="eastAsia"/>
          <w:sz w:val="30"/>
          <w:szCs w:val="30"/>
        </w:rPr>
        <w:t>：浙江国自</w:t>
      </w:r>
      <w:r>
        <w:rPr>
          <w:rFonts w:hint="eastAsia"/>
          <w:sz w:val="30"/>
          <w:szCs w:val="30"/>
          <w:lang w:val="en-US" w:eastAsia="zh-CN"/>
        </w:rPr>
        <w:t>智能装备</w:t>
      </w:r>
      <w:r>
        <w:rPr>
          <w:rFonts w:hint="eastAsia"/>
          <w:sz w:val="30"/>
          <w:szCs w:val="30"/>
        </w:rPr>
        <w:t>有限公司</w:t>
      </w:r>
    </w:p>
    <w:p>
      <w:pPr>
        <w:bidi w:val="0"/>
        <w:ind w:left="0" w:leftChars="0" w:firstLine="0" w:firstLineChars="0"/>
        <w:jc w:val="center"/>
        <w:rPr>
          <w:rFonts w:hint="eastAsia"/>
          <w:sz w:val="30"/>
          <w:szCs w:val="30"/>
        </w:rPr>
      </w:pPr>
      <w:r>
        <w:rPr>
          <w:rFonts w:hint="eastAsia"/>
          <w:sz w:val="30"/>
          <w:szCs w:val="30"/>
          <w:lang w:val="en-US" w:eastAsia="zh-CN"/>
        </w:rPr>
        <w:t>乙方：</w:t>
      </w:r>
    </w:p>
    <w:p>
      <w:pPr>
        <w:bidi w:val="0"/>
        <w:ind w:left="0" w:leftChars="0" w:firstLine="0" w:firstLineChars="0"/>
        <w:jc w:val="center"/>
        <w:rPr>
          <w:rFonts w:hint="eastAsia" w:ascii="仿宋" w:hAnsi="仿宋" w:cs="仿宋"/>
          <w:szCs w:val="30"/>
        </w:rPr>
      </w:pPr>
      <w:r>
        <w:rPr>
          <w:rFonts w:hint="eastAsia"/>
          <w:sz w:val="30"/>
          <w:szCs w:val="30"/>
        </w:rPr>
        <w:t>二零</w:t>
      </w:r>
      <w:r>
        <w:rPr>
          <w:rFonts w:hint="eastAsia"/>
          <w:sz w:val="30"/>
          <w:szCs w:val="30"/>
          <w:lang w:val="en-US" w:eastAsia="zh-CN"/>
        </w:rPr>
        <w:t>二三</w:t>
      </w:r>
      <w:r>
        <w:rPr>
          <w:rFonts w:hint="eastAsia"/>
          <w:sz w:val="30"/>
          <w:szCs w:val="30"/>
        </w:rPr>
        <w:t>年</w:t>
      </w:r>
      <w:r>
        <w:rPr>
          <w:rFonts w:hint="eastAsia"/>
          <w:sz w:val="30"/>
          <w:szCs w:val="30"/>
          <w:lang w:val="en-US" w:eastAsia="zh-CN"/>
        </w:rPr>
        <w:t>二</w:t>
      </w:r>
      <w:r>
        <w:rPr>
          <w:rFonts w:hint="eastAsia"/>
          <w:sz w:val="30"/>
          <w:szCs w:val="30"/>
        </w:rPr>
        <w:t>月</w:t>
      </w:r>
    </w:p>
    <w:p>
      <w:pPr>
        <w:bidi w:val="0"/>
        <w:ind w:left="0" w:leftChars="0" w:firstLine="0" w:firstLineChars="0"/>
        <w:jc w:val="center"/>
        <w:rPr>
          <w:rFonts w:hint="eastAsia"/>
          <w:sz w:val="32"/>
          <w:szCs w:val="32"/>
          <w:lang w:val="en-US" w:eastAsia="zh-CN"/>
        </w:rPr>
        <w:sectPr>
          <w:headerReference r:id="rId5" w:type="default"/>
          <w:footerReference r:id="rId6" w:type="default"/>
          <w:pgSz w:w="11850" w:h="16783"/>
          <w:pgMar w:top="1440" w:right="1080" w:bottom="1440" w:left="1080" w:header="720" w:footer="720" w:gutter="0"/>
          <w:pgBorders>
            <w:top w:val="none" w:sz="0" w:space="0"/>
            <w:left w:val="none" w:sz="0" w:space="0"/>
            <w:bottom w:val="none" w:sz="0" w:space="0"/>
            <w:right w:val="none" w:sz="0" w:space="0"/>
          </w:pgBorders>
          <w:pgNumType w:fmt="decimal" w:start="1"/>
          <w:cols w:space="720" w:num="1"/>
          <w:docGrid w:linePitch="326" w:charSpace="0"/>
        </w:sectPr>
      </w:pPr>
    </w:p>
    <w:p>
      <w:pPr>
        <w:bidi w:val="0"/>
        <w:ind w:left="0" w:leftChars="0" w:firstLine="0" w:firstLineChars="0"/>
        <w:jc w:val="center"/>
        <w:rPr>
          <w:rFonts w:hint="eastAsia"/>
          <w:b/>
          <w:bCs/>
          <w:lang w:val="en-US" w:eastAsia="zh-CN"/>
        </w:rPr>
      </w:pPr>
      <w:r>
        <w:rPr>
          <w:rFonts w:hint="eastAsia"/>
          <w:b/>
          <w:bCs/>
          <w:sz w:val="32"/>
          <w:szCs w:val="32"/>
          <w:lang w:val="en-US" w:eastAsia="zh-CN"/>
        </w:rPr>
        <w:t>目  录</w:t>
      </w:r>
    </w:p>
    <w:p>
      <w:pPr>
        <w:pStyle w:val="26"/>
        <w:tabs>
          <w:tab w:val="right" w:leader="dot" w:pos="9690"/>
          <w:tab w:val="clear" w:pos="8210"/>
        </w:tabs>
      </w:pPr>
      <w:r>
        <w:rPr>
          <w:rFonts w:hint="eastAsia"/>
          <w:b/>
          <w:bCs/>
          <w:sz w:val="32"/>
          <w:szCs w:val="32"/>
          <w:lang w:val="en-US" w:eastAsia="zh-CN"/>
        </w:rPr>
        <w:fldChar w:fldCharType="begin"/>
      </w:r>
      <w:r>
        <w:rPr>
          <w:rFonts w:hint="eastAsia"/>
          <w:b/>
          <w:bCs/>
          <w:sz w:val="32"/>
          <w:szCs w:val="32"/>
          <w:lang w:val="en-US" w:eastAsia="zh-CN"/>
        </w:rPr>
        <w:instrText xml:space="preserve">TOC \o "1-1" \h \u </w:instrText>
      </w:r>
      <w:r>
        <w:rPr>
          <w:rFonts w:hint="eastAsia"/>
          <w:b/>
          <w:bCs/>
          <w:sz w:val="32"/>
          <w:szCs w:val="32"/>
          <w:lang w:val="en-US" w:eastAsia="zh-CN"/>
        </w:rPr>
        <w:fldChar w:fldCharType="separate"/>
      </w:r>
      <w:r>
        <w:rPr>
          <w:rFonts w:hint="eastAsia"/>
          <w:bCs/>
          <w:szCs w:val="32"/>
          <w:lang w:val="en-US" w:eastAsia="zh-CN"/>
        </w:rPr>
        <w:fldChar w:fldCharType="begin"/>
      </w:r>
      <w:r>
        <w:rPr>
          <w:rFonts w:hint="eastAsia"/>
          <w:bCs/>
          <w:szCs w:val="32"/>
          <w:lang w:val="en-US" w:eastAsia="zh-CN"/>
        </w:rPr>
        <w:instrText xml:space="preserve"> HYPERLINK \l _Toc13081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1 </w:t>
      </w:r>
      <w:r>
        <w:rPr>
          <w:rFonts w:hint="eastAsia" w:ascii="Times New Roman" w:hAnsi="Times New Roman" w:cs="Times New Roman"/>
          <w:lang w:val="en-US" w:eastAsia="zh-CN"/>
        </w:rPr>
        <w:t>概述</w:t>
      </w:r>
      <w:r>
        <w:tab/>
      </w:r>
      <w:r>
        <w:fldChar w:fldCharType="begin"/>
      </w:r>
      <w:r>
        <w:instrText xml:space="preserve"> PAGEREF _Toc13081 \h </w:instrText>
      </w:r>
      <w:r>
        <w:fldChar w:fldCharType="separate"/>
      </w:r>
      <w:r>
        <w:t>1</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_Toc20557 </w:instrText>
      </w:r>
      <w:r>
        <w:rPr>
          <w:rFonts w:hint="eastAsia"/>
          <w:bCs/>
          <w:szCs w:val="32"/>
          <w:lang w:val="en-US" w:eastAsia="zh-CN"/>
        </w:rPr>
        <w:fldChar w:fldCharType="separate"/>
      </w:r>
      <w:r>
        <w:rPr>
          <w:rFonts w:hint="default" w:ascii="Times New Roman" w:hAnsi="Times New Roman" w:eastAsia="仿宋" w:cs="宋体"/>
        </w:rPr>
        <w:t xml:space="preserve">2 </w:t>
      </w:r>
      <w:r>
        <w:rPr>
          <w:rFonts w:hint="eastAsia"/>
        </w:rPr>
        <w:t>产品信息</w:t>
      </w:r>
      <w:r>
        <w:rPr>
          <w:rFonts w:hint="eastAsia"/>
          <w:lang w:val="en-US" w:eastAsia="zh-CN"/>
        </w:rPr>
        <w:t>及</w:t>
      </w:r>
      <w:r>
        <w:rPr>
          <w:rFonts w:hint="eastAsia"/>
        </w:rPr>
        <w:t>工厂条件</w:t>
      </w:r>
      <w:r>
        <w:tab/>
      </w:r>
      <w:r>
        <w:fldChar w:fldCharType="begin"/>
      </w:r>
      <w:r>
        <w:instrText xml:space="preserve"> PAGEREF _Toc20557 \h </w:instrText>
      </w:r>
      <w:r>
        <w:fldChar w:fldCharType="separate"/>
      </w:r>
      <w:r>
        <w:t>2</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_Toc28060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3 </w:t>
      </w:r>
      <w:r>
        <w:rPr>
          <w:rFonts w:hint="eastAsia"/>
          <w:lang w:val="en-US" w:eastAsia="zh-CN"/>
        </w:rPr>
        <w:t>工艺流程及设备布置</w:t>
      </w:r>
      <w:r>
        <w:tab/>
      </w:r>
      <w:r>
        <w:fldChar w:fldCharType="begin"/>
      </w:r>
      <w:r>
        <w:instrText xml:space="preserve"> PAGEREF _Toc28060 \h </w:instrText>
      </w:r>
      <w:r>
        <w:fldChar w:fldCharType="separate"/>
      </w:r>
      <w:r>
        <w:t>4</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_Toc12312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4 </w:t>
      </w:r>
      <w:r>
        <w:rPr>
          <w:rFonts w:hint="eastAsia"/>
          <w:lang w:val="en-US" w:eastAsia="zh-CN"/>
        </w:rPr>
        <w:t>供货范围</w:t>
      </w:r>
      <w:r>
        <w:tab/>
      </w:r>
      <w:r>
        <w:fldChar w:fldCharType="begin"/>
      </w:r>
      <w:r>
        <w:instrText xml:space="preserve"> PAGEREF _Toc12312 \h </w:instrText>
      </w:r>
      <w:r>
        <w:fldChar w:fldCharType="separate"/>
      </w:r>
      <w:r>
        <w:t>7</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_Toc28118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5 </w:t>
      </w:r>
      <w:r>
        <w:rPr>
          <w:rFonts w:hint="eastAsia"/>
          <w:lang w:val="en-US" w:eastAsia="zh-CN"/>
        </w:rPr>
        <w:t>系统要求</w:t>
      </w:r>
      <w:r>
        <w:tab/>
      </w:r>
      <w:r>
        <w:fldChar w:fldCharType="begin"/>
      </w:r>
      <w:r>
        <w:instrText xml:space="preserve"> PAGEREF _Toc28118 \h </w:instrText>
      </w:r>
      <w:r>
        <w:fldChar w:fldCharType="separate"/>
      </w:r>
      <w:r>
        <w:t>9</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_Toc26555 </w:instrText>
      </w:r>
      <w:r>
        <w:rPr>
          <w:rFonts w:hint="eastAsia"/>
          <w:bCs/>
          <w:szCs w:val="32"/>
          <w:lang w:val="en-US" w:eastAsia="zh-CN"/>
        </w:rPr>
        <w:fldChar w:fldCharType="separate"/>
      </w:r>
      <w:r>
        <w:rPr>
          <w:rFonts w:hint="default" w:ascii="Times New Roman" w:hAnsi="Times New Roman" w:eastAsia="仿宋" w:cs="宋体"/>
        </w:rPr>
        <w:t xml:space="preserve">6 </w:t>
      </w:r>
      <w:r>
        <w:rPr>
          <w:rFonts w:hint="eastAsia"/>
        </w:rPr>
        <w:t>包装运输和储存、安装</w:t>
      </w:r>
      <w:r>
        <w:tab/>
      </w:r>
      <w:r>
        <w:fldChar w:fldCharType="begin"/>
      </w:r>
      <w:r>
        <w:instrText xml:space="preserve"> PAGEREF _Toc26555 \h </w:instrText>
      </w:r>
      <w:r>
        <w:fldChar w:fldCharType="separate"/>
      </w:r>
      <w:r>
        <w:t>14</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_Toc22691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7 </w:t>
      </w:r>
      <w:r>
        <w:rPr>
          <w:rFonts w:hint="eastAsia"/>
        </w:rPr>
        <w:t>施工计划</w:t>
      </w:r>
      <w:r>
        <w:tab/>
      </w:r>
      <w:r>
        <w:fldChar w:fldCharType="begin"/>
      </w:r>
      <w:r>
        <w:instrText xml:space="preserve"> PAGEREF _Toc22691 \h </w:instrText>
      </w:r>
      <w:r>
        <w:fldChar w:fldCharType="separate"/>
      </w:r>
      <w:r>
        <w:t>14</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_Toc16977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8 </w:t>
      </w:r>
      <w:r>
        <w:rPr>
          <w:rFonts w:hint="default"/>
          <w:lang w:val="en-US" w:eastAsia="zh-CN"/>
        </w:rPr>
        <w:t>资料交付</w:t>
      </w:r>
      <w:r>
        <w:tab/>
      </w:r>
      <w:r>
        <w:fldChar w:fldCharType="begin"/>
      </w:r>
      <w:r>
        <w:instrText xml:space="preserve"> PAGEREF _Toc16977 \h </w:instrText>
      </w:r>
      <w:r>
        <w:fldChar w:fldCharType="separate"/>
      </w:r>
      <w:r>
        <w:t>14</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_Toc1922 </w:instrText>
      </w:r>
      <w:r>
        <w:rPr>
          <w:rFonts w:hint="eastAsia"/>
          <w:bCs/>
          <w:szCs w:val="32"/>
          <w:lang w:val="en-US" w:eastAsia="zh-CN"/>
        </w:rPr>
        <w:fldChar w:fldCharType="separate"/>
      </w:r>
      <w:r>
        <w:rPr>
          <w:rFonts w:hint="default" w:ascii="Times New Roman" w:hAnsi="Times New Roman" w:eastAsia="仿宋" w:cs="宋体"/>
          <w:lang w:val="en-US" w:eastAsia="zh-CN"/>
        </w:rPr>
        <w:t xml:space="preserve">9 </w:t>
      </w:r>
      <w:r>
        <w:rPr>
          <w:rFonts w:hint="default"/>
          <w:lang w:val="en-US" w:eastAsia="zh-CN"/>
        </w:rPr>
        <w:t>技术服务和培训</w:t>
      </w:r>
      <w:r>
        <w:tab/>
      </w:r>
      <w:r>
        <w:fldChar w:fldCharType="begin"/>
      </w:r>
      <w:r>
        <w:instrText xml:space="preserve"> PAGEREF _Toc1922 \h </w:instrText>
      </w:r>
      <w:r>
        <w:fldChar w:fldCharType="separate"/>
      </w:r>
      <w:r>
        <w:t>14</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_Toc19185 </w:instrText>
      </w:r>
      <w:r>
        <w:rPr>
          <w:rFonts w:hint="eastAsia"/>
          <w:bCs/>
          <w:szCs w:val="32"/>
          <w:lang w:val="en-US" w:eastAsia="zh-CN"/>
        </w:rPr>
        <w:fldChar w:fldCharType="separate"/>
      </w:r>
      <w:r>
        <w:rPr>
          <w:rFonts w:hint="default" w:ascii="Times New Roman" w:hAnsi="Times New Roman" w:eastAsia="仿宋" w:cs="宋体"/>
        </w:rPr>
        <w:t xml:space="preserve">10 </w:t>
      </w:r>
      <w:r>
        <w:rPr>
          <w:rFonts w:hint="default"/>
          <w:lang w:val="en-US" w:eastAsia="zh-CN"/>
        </w:rPr>
        <w:t>安装调试、考核验收</w:t>
      </w:r>
      <w:r>
        <w:tab/>
      </w:r>
      <w:r>
        <w:fldChar w:fldCharType="begin"/>
      </w:r>
      <w:r>
        <w:instrText xml:space="preserve"> PAGEREF _Toc19185 \h </w:instrText>
      </w:r>
      <w:r>
        <w:fldChar w:fldCharType="separate"/>
      </w:r>
      <w:r>
        <w:t>15</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_Toc14996 </w:instrText>
      </w:r>
      <w:r>
        <w:rPr>
          <w:rFonts w:hint="eastAsia"/>
          <w:bCs/>
          <w:szCs w:val="32"/>
          <w:lang w:val="en-US" w:eastAsia="zh-CN"/>
        </w:rPr>
        <w:fldChar w:fldCharType="separate"/>
      </w:r>
      <w:r>
        <w:rPr>
          <w:rFonts w:hint="default" w:ascii="Times New Roman" w:hAnsi="Times New Roman" w:eastAsia="仿宋" w:cs="宋体"/>
        </w:rPr>
        <w:t xml:space="preserve">11 </w:t>
      </w:r>
      <w:r>
        <w:rPr>
          <w:rFonts w:hint="eastAsia"/>
        </w:rPr>
        <w:t>保密要求</w:t>
      </w:r>
      <w:r>
        <w:tab/>
      </w:r>
      <w:r>
        <w:fldChar w:fldCharType="begin"/>
      </w:r>
      <w:r>
        <w:instrText xml:space="preserve"> PAGEREF _Toc14996 \h </w:instrText>
      </w:r>
      <w:r>
        <w:fldChar w:fldCharType="separate"/>
      </w:r>
      <w:r>
        <w:t>18</w:t>
      </w:r>
      <w:r>
        <w:fldChar w:fldCharType="end"/>
      </w:r>
      <w:r>
        <w:rPr>
          <w:rFonts w:hint="eastAsia"/>
          <w:bCs/>
          <w:szCs w:val="32"/>
          <w:lang w:val="en-US" w:eastAsia="zh-CN"/>
        </w:rPr>
        <w:fldChar w:fldCharType="end"/>
      </w:r>
    </w:p>
    <w:p>
      <w:pPr>
        <w:pStyle w:val="26"/>
        <w:tabs>
          <w:tab w:val="right" w:leader="dot" w:pos="9690"/>
          <w:tab w:val="clear" w:pos="8210"/>
        </w:tabs>
      </w:pPr>
      <w:r>
        <w:rPr>
          <w:rFonts w:hint="eastAsia"/>
          <w:bCs/>
          <w:szCs w:val="32"/>
          <w:lang w:val="en-US" w:eastAsia="zh-CN"/>
        </w:rPr>
        <w:fldChar w:fldCharType="begin"/>
      </w:r>
      <w:r>
        <w:rPr>
          <w:rFonts w:hint="eastAsia"/>
          <w:bCs/>
          <w:szCs w:val="32"/>
          <w:lang w:val="en-US" w:eastAsia="zh-CN"/>
        </w:rPr>
        <w:instrText xml:space="preserve"> HYPERLINK \l _Toc9481 </w:instrText>
      </w:r>
      <w:r>
        <w:rPr>
          <w:rFonts w:hint="eastAsia"/>
          <w:bCs/>
          <w:szCs w:val="32"/>
          <w:lang w:val="en-US" w:eastAsia="zh-CN"/>
        </w:rPr>
        <w:fldChar w:fldCharType="separate"/>
      </w:r>
      <w:r>
        <w:rPr>
          <w:rFonts w:hint="default" w:ascii="Times New Roman" w:hAnsi="Times New Roman" w:eastAsia="仿宋" w:cs="宋体"/>
        </w:rPr>
        <w:t xml:space="preserve">12 </w:t>
      </w:r>
      <w:r>
        <w:rPr>
          <w:rFonts w:hint="eastAsia"/>
        </w:rPr>
        <w:t>其他</w:t>
      </w:r>
      <w:r>
        <w:tab/>
      </w:r>
      <w:r>
        <w:fldChar w:fldCharType="begin"/>
      </w:r>
      <w:r>
        <w:instrText xml:space="preserve"> PAGEREF _Toc9481 \h </w:instrText>
      </w:r>
      <w:r>
        <w:fldChar w:fldCharType="separate"/>
      </w:r>
      <w:r>
        <w:t>18</w:t>
      </w:r>
      <w:r>
        <w:fldChar w:fldCharType="end"/>
      </w:r>
      <w:r>
        <w:rPr>
          <w:rFonts w:hint="eastAsia"/>
          <w:bCs/>
          <w:szCs w:val="32"/>
          <w:lang w:val="en-US" w:eastAsia="zh-CN"/>
        </w:rPr>
        <w:fldChar w:fldCharType="end"/>
      </w:r>
    </w:p>
    <w:p>
      <w:pPr>
        <w:bidi w:val="0"/>
        <w:rPr>
          <w:rFonts w:hint="eastAsia"/>
          <w:bCs/>
          <w:szCs w:val="32"/>
          <w:lang w:val="en-US" w:eastAsia="zh-CN"/>
        </w:rPr>
      </w:pPr>
      <w:r>
        <w:rPr>
          <w:rFonts w:hint="eastAsia"/>
          <w:bCs/>
          <w:szCs w:val="32"/>
          <w:lang w:val="en-US" w:eastAsia="zh-CN"/>
        </w:rPr>
        <w:fldChar w:fldCharType="end"/>
      </w:r>
    </w:p>
    <w:p>
      <w:pPr>
        <w:bidi w:val="0"/>
        <w:rPr>
          <w:rFonts w:hint="default"/>
          <w:bCs/>
          <w:szCs w:val="32"/>
          <w:lang w:val="en-US" w:eastAsia="zh-CN"/>
        </w:rPr>
        <w:sectPr>
          <w:footerReference r:id="rId7" w:type="default"/>
          <w:pgSz w:w="11850" w:h="16783"/>
          <w:pgMar w:top="1440" w:right="1080" w:bottom="1440" w:left="1080" w:header="720" w:footer="720" w:gutter="0"/>
          <w:pgBorders>
            <w:top w:val="none" w:sz="0" w:space="0"/>
            <w:left w:val="none" w:sz="0" w:space="0"/>
            <w:bottom w:val="none" w:sz="0" w:space="0"/>
            <w:right w:val="none" w:sz="0" w:space="0"/>
          </w:pgBorders>
          <w:pgNumType w:fmt="upperRoman" w:start="1"/>
          <w:cols w:space="720" w:num="1"/>
          <w:docGrid w:linePitch="326" w:charSpace="0"/>
        </w:sectPr>
      </w:pPr>
    </w:p>
    <w:p>
      <w:pPr>
        <w:pStyle w:val="3"/>
        <w:bidi w:val="0"/>
        <w:rPr>
          <w:rFonts w:hint="default" w:ascii="Times New Roman" w:hAnsi="Times New Roman" w:cs="Times New Roman"/>
          <w:lang w:val="en-US" w:eastAsia="zh-CN"/>
        </w:rPr>
      </w:pPr>
      <w:bookmarkStart w:id="0" w:name="_Toc13081"/>
      <w:r>
        <w:rPr>
          <w:rFonts w:hint="eastAsia" w:ascii="Times New Roman" w:hAnsi="Times New Roman" w:cs="Times New Roman"/>
          <w:lang w:val="en-US" w:eastAsia="zh-CN"/>
        </w:rPr>
        <w:t>概述</w:t>
      </w:r>
      <w:bookmarkEnd w:id="0"/>
    </w:p>
    <w:p>
      <w:pPr>
        <w:pStyle w:val="2"/>
        <w:bidi w:val="0"/>
        <w:rPr>
          <w:rFonts w:hint="default" w:ascii="Times New Roman" w:hAnsi="Times New Roman" w:cs="Times New Roman"/>
          <w:lang w:val="en-US" w:eastAsia="zh-CN"/>
        </w:rPr>
      </w:pPr>
      <w:r>
        <w:rPr>
          <w:rFonts w:hint="eastAsia" w:ascii="Times New Roman" w:hAnsi="Times New Roman" w:cs="Times New Roman"/>
          <w:lang w:val="en-US" w:eastAsia="zh-CN"/>
        </w:rPr>
        <w:t>项目概况</w:t>
      </w:r>
    </w:p>
    <w:p>
      <w:pPr>
        <w:ind w:firstLine="480" w:firstLineChars="200"/>
        <w:rPr>
          <w:rFonts w:hint="default"/>
          <w:lang w:val="en-US" w:eastAsia="zh-CN"/>
        </w:rPr>
      </w:pPr>
      <w:r>
        <w:rPr>
          <w:rFonts w:hint="eastAsia" w:cs="Times New Roman"/>
          <w:lang w:val="en-US" w:eastAsia="zh-CN"/>
        </w:rPr>
        <w:t>本技术协议是浙江国自智能装备有限公司对</w:t>
      </w:r>
      <w:r>
        <w:rPr>
          <w:rFonts w:hint="eastAsia" w:cs="Times New Roman"/>
          <w:u w:val="single"/>
          <w:lang w:val="en-US" w:eastAsia="zh-CN"/>
        </w:rPr>
        <w:t xml:space="preserve"> 新朔铁路智慧化仓储管理、仓库智慧化出入库项目机务库WMS系统</w:t>
      </w:r>
      <w:r>
        <w:rPr>
          <w:rFonts w:hint="eastAsia" w:cs="Times New Roman"/>
          <w:lang w:val="en-US" w:eastAsia="zh-CN"/>
        </w:rPr>
        <w:t>的</w:t>
      </w:r>
      <w:r>
        <w:rPr>
          <w:rFonts w:hint="eastAsia" w:ascii="仿宋" w:hAnsi="仿宋" w:cs="仿宋"/>
        </w:rPr>
        <w:t>工艺流程说明、工厂条件、供货范围、技术要求、</w:t>
      </w:r>
      <w:r>
        <w:rPr>
          <w:rFonts w:hint="eastAsia" w:ascii="仿宋" w:hAnsi="仿宋" w:cs="仿宋"/>
          <w:lang w:val="en-US" w:eastAsia="zh-CN"/>
        </w:rPr>
        <w:t>双方</w:t>
      </w:r>
      <w:r>
        <w:rPr>
          <w:rFonts w:hint="eastAsia" w:ascii="仿宋" w:hAnsi="仿宋" w:cs="仿宋"/>
        </w:rPr>
        <w:t>任务要求、售后及验收等内容的阐述</w:t>
      </w:r>
      <w:r>
        <w:rPr>
          <w:rFonts w:hint="eastAsia" w:cs="Times New Roman"/>
          <w:lang w:val="en-US" w:eastAsia="zh-CN"/>
        </w:rPr>
        <w:t>。</w:t>
      </w:r>
    </w:p>
    <w:p>
      <w:pPr>
        <w:pStyle w:val="2"/>
        <w:tabs>
          <w:tab w:val="left" w:pos="0"/>
        </w:tabs>
      </w:pPr>
      <w:r>
        <w:rPr>
          <w:rFonts w:hint="eastAsia"/>
        </w:rPr>
        <w:t>建设内容</w:t>
      </w:r>
    </w:p>
    <w:p>
      <w:pPr>
        <w:numPr>
          <w:ilvl w:val="0"/>
          <w:numId w:val="6"/>
        </w:numPr>
        <w:tabs>
          <w:tab w:val="clear" w:pos="397"/>
        </w:tabs>
        <w:bidi w:val="0"/>
        <w:ind w:left="480" w:leftChars="200" w:firstLine="0" w:firstLineChars="0"/>
        <w:rPr>
          <w:rFonts w:hint="eastAsia"/>
        </w:rPr>
      </w:pPr>
      <w:r>
        <w:rPr>
          <w:rFonts w:hint="eastAsia"/>
        </w:rPr>
        <w:t>项目名称：</w:t>
      </w:r>
      <w:r>
        <w:rPr>
          <w:rFonts w:hint="eastAsia"/>
          <w:u w:val="single"/>
          <w:lang w:val="en-US" w:eastAsia="zh-CN"/>
        </w:rPr>
        <w:t xml:space="preserve"> </w:t>
      </w:r>
      <w:r>
        <w:rPr>
          <w:rFonts w:hint="eastAsia" w:cs="Times New Roman"/>
          <w:u w:val="single"/>
          <w:lang w:val="en-US" w:eastAsia="zh-CN"/>
        </w:rPr>
        <w:t>新朔铁路智慧化仓储管理、仓库智慧化出入库项目机务库WMS系统</w:t>
      </w:r>
      <w:r>
        <w:rPr>
          <w:rFonts w:hint="eastAsia"/>
        </w:rPr>
        <w:t>；</w:t>
      </w:r>
    </w:p>
    <w:p>
      <w:pPr>
        <w:numPr>
          <w:ilvl w:val="0"/>
          <w:numId w:val="6"/>
        </w:numPr>
        <w:tabs>
          <w:tab w:val="clear" w:pos="397"/>
        </w:tabs>
        <w:bidi w:val="0"/>
        <w:ind w:left="480" w:leftChars="200" w:firstLine="0" w:firstLineChars="0"/>
        <w:rPr>
          <w:rFonts w:hint="eastAsia"/>
        </w:rPr>
      </w:pPr>
      <w:r>
        <w:rPr>
          <w:rFonts w:hint="eastAsia"/>
        </w:rPr>
        <w:t>建设单位：</w:t>
      </w:r>
      <w:r>
        <w:rPr>
          <w:rFonts w:hint="eastAsia"/>
          <w:u w:val="single"/>
          <w:lang w:val="en-US" w:eastAsia="zh-CN"/>
        </w:rPr>
        <w:t xml:space="preserve"> 新朔铁路机务分公司 </w:t>
      </w:r>
      <w:r>
        <w:rPr>
          <w:rFonts w:hint="eastAsia"/>
        </w:rPr>
        <w:t>；</w:t>
      </w:r>
    </w:p>
    <w:p>
      <w:pPr>
        <w:numPr>
          <w:ilvl w:val="0"/>
          <w:numId w:val="6"/>
        </w:numPr>
        <w:tabs>
          <w:tab w:val="clear" w:pos="397"/>
        </w:tabs>
        <w:bidi w:val="0"/>
        <w:ind w:left="480" w:leftChars="200" w:firstLine="0" w:firstLineChars="0"/>
        <w:rPr>
          <w:rFonts w:hint="eastAsia"/>
        </w:rPr>
      </w:pPr>
      <w:r>
        <w:rPr>
          <w:rFonts w:hint="eastAsia"/>
        </w:rPr>
        <w:t>公司厂址：</w:t>
      </w:r>
      <w:r>
        <w:rPr>
          <w:rFonts w:hint="eastAsia"/>
          <w:u w:val="single"/>
          <w:lang w:val="en-US" w:eastAsia="zh-CN"/>
        </w:rPr>
        <w:t xml:space="preserve">内蒙古自治区鄂尔多斯市准格尔旗 </w:t>
      </w:r>
      <w:r>
        <w:rPr>
          <w:rFonts w:hint="eastAsia"/>
        </w:rPr>
        <w:t>。</w:t>
      </w:r>
    </w:p>
    <w:p>
      <w:pPr>
        <w:pStyle w:val="2"/>
        <w:tabs>
          <w:tab w:val="left" w:pos="0"/>
        </w:tabs>
      </w:pPr>
      <w:r>
        <w:rPr>
          <w:rFonts w:hint="eastAsia"/>
        </w:rPr>
        <w:t>设计中遵循的</w:t>
      </w:r>
      <w:r>
        <w:rPr>
          <w:rFonts w:hint="eastAsia"/>
          <w:lang w:val="en-US" w:eastAsia="zh-CN"/>
        </w:rPr>
        <w:t>相关</w:t>
      </w:r>
      <w:r>
        <w:rPr>
          <w:rFonts w:hint="eastAsia"/>
        </w:rPr>
        <w:t>标准规范</w:t>
      </w:r>
    </w:p>
    <w:p>
      <w:r>
        <w:rPr>
          <w:rFonts w:hint="eastAsia"/>
          <w:lang w:val="en-US" w:eastAsia="zh-CN"/>
        </w:rPr>
        <w:t>设备</w:t>
      </w:r>
      <w:r>
        <w:t>设计、制造、安装调试、检验及验收符合以下标准，下列标准中若有不一致之处，按要求较严格的标准执行。</w:t>
      </w:r>
      <w:r>
        <w:rPr>
          <w:rFonts w:hint="eastAsia"/>
          <w:lang w:val="en-US" w:eastAsia="zh-CN"/>
        </w:rPr>
        <w:t>同时应</w:t>
      </w:r>
      <w:r>
        <w:rPr>
          <w:u w:val="none"/>
        </w:rPr>
        <w:t>符合其它</w:t>
      </w:r>
      <w:r>
        <w:rPr>
          <w:rFonts w:hint="eastAsia"/>
          <w:u w:val="none"/>
          <w:lang w:val="en-US" w:eastAsia="zh-CN"/>
        </w:rPr>
        <w:t>相关的</w:t>
      </w:r>
      <w:r>
        <w:rPr>
          <w:u w:val="none"/>
        </w:rPr>
        <w:t>国家标准或行业标准要求</w:t>
      </w:r>
      <w:r>
        <w:rPr>
          <w:rFonts w:hint="eastAsia"/>
          <w:u w:val="none"/>
          <w:lang w:eastAsia="zh-CN"/>
        </w:rPr>
        <w:t>。</w:t>
      </w:r>
    </w:p>
    <w:p>
      <w:pPr>
        <w:numPr>
          <w:ilvl w:val="0"/>
          <w:numId w:val="7"/>
        </w:numPr>
        <w:bidi w:val="0"/>
        <w:ind w:left="0" w:leftChars="0" w:firstLine="480" w:firstLineChars="200"/>
        <w:rPr>
          <w:rFonts w:hint="eastAsia"/>
        </w:rPr>
      </w:pPr>
      <w:r>
        <w:rPr>
          <w:rFonts w:hint="eastAsia"/>
        </w:rPr>
        <w:t>TSGN0001-2017场(厂)内专用机动车辆安全技术监察规程</w:t>
      </w:r>
    </w:p>
    <w:p>
      <w:pPr>
        <w:numPr>
          <w:ilvl w:val="0"/>
          <w:numId w:val="7"/>
        </w:numPr>
        <w:bidi w:val="0"/>
        <w:ind w:left="0" w:leftChars="0" w:firstLine="480" w:firstLineChars="200"/>
        <w:rPr>
          <w:rFonts w:hint="eastAsia"/>
        </w:rPr>
      </w:pPr>
      <w:r>
        <w:rPr>
          <w:rFonts w:hint="eastAsia"/>
        </w:rPr>
        <w:t>GB/T19022-2003/ISO10012-2003《测量管理体系—测量过程和测量设备的要求》</w:t>
      </w:r>
    </w:p>
    <w:p>
      <w:pPr>
        <w:numPr>
          <w:ilvl w:val="0"/>
          <w:numId w:val="7"/>
        </w:numPr>
        <w:bidi w:val="0"/>
        <w:ind w:left="0" w:leftChars="0" w:firstLine="480" w:firstLineChars="200"/>
        <w:rPr>
          <w:rFonts w:hint="eastAsia"/>
        </w:rPr>
      </w:pPr>
      <w:r>
        <w:rPr>
          <w:rFonts w:hint="eastAsia"/>
        </w:rPr>
        <w:t>JB/T9018自动化立体仓库设计规范</w:t>
      </w:r>
    </w:p>
    <w:p>
      <w:pPr>
        <w:numPr>
          <w:ilvl w:val="0"/>
          <w:numId w:val="7"/>
        </w:numPr>
        <w:bidi w:val="0"/>
        <w:ind w:left="0" w:leftChars="0" w:firstLine="480" w:firstLineChars="200"/>
        <w:rPr>
          <w:rFonts w:hint="eastAsia"/>
        </w:rPr>
      </w:pPr>
      <w:r>
        <w:rPr>
          <w:rFonts w:hint="eastAsia"/>
        </w:rPr>
        <w:t>GB/T30673自动化立体仓库的安装与维护规范</w:t>
      </w:r>
    </w:p>
    <w:p>
      <w:pPr>
        <w:numPr>
          <w:ilvl w:val="0"/>
          <w:numId w:val="7"/>
        </w:numPr>
        <w:bidi w:val="0"/>
        <w:ind w:left="0" w:leftChars="0" w:firstLine="480" w:firstLineChars="200"/>
        <w:rPr>
          <w:rFonts w:hint="eastAsia"/>
        </w:rPr>
      </w:pPr>
      <w:r>
        <w:rPr>
          <w:rFonts w:hint="eastAsia"/>
        </w:rPr>
        <w:t>GB/T28576-2012工业货架设计计算</w:t>
      </w:r>
    </w:p>
    <w:p>
      <w:pPr>
        <w:numPr>
          <w:ilvl w:val="0"/>
          <w:numId w:val="7"/>
        </w:numPr>
        <w:bidi w:val="0"/>
        <w:ind w:left="0" w:leftChars="0" w:firstLine="480" w:firstLineChars="200"/>
        <w:rPr>
          <w:rFonts w:hint="eastAsia"/>
        </w:rPr>
      </w:pPr>
      <w:r>
        <w:rPr>
          <w:rFonts w:hint="eastAsia"/>
        </w:rPr>
        <w:t>JB/T5323立体仓库焊接式结构货架技术条件</w:t>
      </w:r>
    </w:p>
    <w:p>
      <w:pPr>
        <w:numPr>
          <w:ilvl w:val="0"/>
          <w:numId w:val="7"/>
        </w:numPr>
        <w:bidi w:val="0"/>
        <w:ind w:left="0" w:leftChars="0" w:firstLine="480" w:firstLineChars="200"/>
        <w:rPr>
          <w:rFonts w:hint="eastAsia"/>
        </w:rPr>
      </w:pPr>
      <w:r>
        <w:rPr>
          <w:rFonts w:hint="eastAsia"/>
        </w:rPr>
        <w:t>JB/T5323有轨巷道式高层货架仓库设计规范国内现行标准</w:t>
      </w:r>
    </w:p>
    <w:p>
      <w:pPr>
        <w:numPr>
          <w:ilvl w:val="0"/>
          <w:numId w:val="7"/>
        </w:numPr>
        <w:bidi w:val="0"/>
        <w:ind w:left="0" w:leftChars="0" w:firstLine="480" w:firstLineChars="200"/>
        <w:rPr>
          <w:rFonts w:hint="eastAsia"/>
        </w:rPr>
      </w:pPr>
      <w:r>
        <w:rPr>
          <w:rFonts w:hint="eastAsia"/>
        </w:rPr>
        <w:t>GBJ11建筑抗震设计规范</w:t>
      </w:r>
    </w:p>
    <w:p>
      <w:pPr>
        <w:numPr>
          <w:ilvl w:val="0"/>
          <w:numId w:val="7"/>
        </w:numPr>
        <w:bidi w:val="0"/>
        <w:ind w:left="0" w:leftChars="0" w:firstLine="480" w:firstLineChars="200"/>
        <w:rPr>
          <w:rFonts w:hint="eastAsia"/>
        </w:rPr>
      </w:pPr>
      <w:r>
        <w:rPr>
          <w:rFonts w:hint="eastAsia"/>
        </w:rPr>
        <w:t>GBT27924工业货架规格尺寸与额定荷载</w:t>
      </w:r>
    </w:p>
    <w:p>
      <w:pPr>
        <w:numPr>
          <w:ilvl w:val="0"/>
          <w:numId w:val="7"/>
        </w:numPr>
        <w:bidi w:val="0"/>
        <w:ind w:left="0" w:leftChars="0" w:firstLine="480" w:firstLineChars="200"/>
        <w:rPr>
          <w:rFonts w:hint="eastAsia"/>
        </w:rPr>
      </w:pPr>
      <w:r>
        <w:rPr>
          <w:rFonts w:hint="eastAsia"/>
        </w:rPr>
        <w:t>GB50017钢结构设计规范</w:t>
      </w:r>
    </w:p>
    <w:p>
      <w:pPr>
        <w:numPr>
          <w:ilvl w:val="0"/>
          <w:numId w:val="7"/>
        </w:numPr>
        <w:bidi w:val="0"/>
        <w:ind w:left="0" w:leftChars="0" w:firstLine="480" w:firstLineChars="200"/>
        <w:rPr>
          <w:rFonts w:hint="eastAsia"/>
        </w:rPr>
      </w:pPr>
      <w:r>
        <w:rPr>
          <w:rFonts w:hint="eastAsia"/>
        </w:rPr>
        <w:t>GB/T1804一般公差未注公差的线性和角度尺寸的公差</w:t>
      </w:r>
    </w:p>
    <w:p>
      <w:pPr>
        <w:numPr>
          <w:ilvl w:val="0"/>
          <w:numId w:val="7"/>
        </w:numPr>
        <w:bidi w:val="0"/>
        <w:ind w:left="0" w:leftChars="0" w:firstLine="480" w:firstLineChars="200"/>
        <w:rPr>
          <w:rFonts w:hint="eastAsia"/>
        </w:rPr>
      </w:pPr>
      <w:r>
        <w:rPr>
          <w:rFonts w:hint="eastAsia"/>
        </w:rPr>
        <w:t>GB/T985.1气焊、手工电弧焊及气体保护焊焊缝坡口的基本形式与尺寸GB/T13306标牌</w:t>
      </w:r>
    </w:p>
    <w:p>
      <w:pPr>
        <w:numPr>
          <w:ilvl w:val="0"/>
          <w:numId w:val="7"/>
        </w:numPr>
        <w:bidi w:val="0"/>
        <w:ind w:left="0" w:leftChars="0" w:firstLine="480" w:firstLineChars="200"/>
        <w:rPr>
          <w:rFonts w:hint="eastAsia"/>
        </w:rPr>
      </w:pPr>
      <w:r>
        <w:rPr>
          <w:rFonts w:hint="eastAsia"/>
        </w:rPr>
        <w:t>GB/T700碳素结构钢</w:t>
      </w:r>
    </w:p>
    <w:p>
      <w:pPr>
        <w:numPr>
          <w:ilvl w:val="0"/>
          <w:numId w:val="7"/>
        </w:numPr>
        <w:bidi w:val="0"/>
        <w:ind w:left="0" w:leftChars="0" w:firstLine="480" w:firstLineChars="200"/>
        <w:rPr>
          <w:rFonts w:hint="eastAsia"/>
        </w:rPr>
      </w:pPr>
      <w:r>
        <w:rPr>
          <w:rFonts w:hint="eastAsia"/>
        </w:rPr>
        <w:t>GB/T191包装储运图示标志</w:t>
      </w:r>
    </w:p>
    <w:p>
      <w:pPr>
        <w:numPr>
          <w:ilvl w:val="0"/>
          <w:numId w:val="7"/>
        </w:numPr>
        <w:bidi w:val="0"/>
        <w:ind w:left="0" w:leftChars="0" w:firstLine="480" w:firstLineChars="200"/>
        <w:rPr>
          <w:rFonts w:hint="eastAsia"/>
        </w:rPr>
      </w:pPr>
      <w:r>
        <w:rPr>
          <w:rFonts w:hint="eastAsia"/>
        </w:rPr>
        <w:t>JBT10822智能立体仓库设计通则</w:t>
      </w:r>
    </w:p>
    <w:p>
      <w:pPr>
        <w:numPr>
          <w:ilvl w:val="0"/>
          <w:numId w:val="7"/>
        </w:numPr>
        <w:bidi w:val="0"/>
        <w:ind w:left="0" w:leftChars="0" w:firstLine="480" w:firstLineChars="200"/>
        <w:rPr>
          <w:rFonts w:hint="eastAsia"/>
        </w:rPr>
      </w:pPr>
      <w:r>
        <w:rPr>
          <w:rFonts w:hint="eastAsia"/>
        </w:rPr>
        <w:t>GB50231机械设备安装工程及验收通用规范</w:t>
      </w:r>
    </w:p>
    <w:p>
      <w:pPr>
        <w:numPr>
          <w:ilvl w:val="0"/>
          <w:numId w:val="7"/>
        </w:numPr>
        <w:bidi w:val="0"/>
        <w:ind w:left="0" w:leftChars="0" w:firstLine="480" w:firstLineChars="200"/>
        <w:rPr>
          <w:rFonts w:hint="eastAsia"/>
        </w:rPr>
      </w:pPr>
      <w:r>
        <w:rPr>
          <w:rFonts w:hint="eastAsia"/>
        </w:rPr>
        <w:t>GB50168电气装置安装工程电缆线路施工及验收规范</w:t>
      </w:r>
    </w:p>
    <w:p>
      <w:pPr>
        <w:numPr>
          <w:ilvl w:val="0"/>
          <w:numId w:val="7"/>
        </w:numPr>
        <w:bidi w:val="0"/>
        <w:ind w:left="0" w:leftChars="0" w:firstLine="480" w:firstLineChars="200"/>
        <w:rPr>
          <w:rFonts w:hint="eastAsia"/>
        </w:rPr>
      </w:pPr>
      <w:r>
        <w:rPr>
          <w:rFonts w:hint="eastAsia"/>
        </w:rPr>
        <w:t>GB50171电气装置安装工程盘、柜及二次回路结线施工及验收规范</w:t>
      </w:r>
    </w:p>
    <w:p>
      <w:pPr>
        <w:numPr>
          <w:ilvl w:val="0"/>
          <w:numId w:val="7"/>
        </w:numPr>
        <w:bidi w:val="0"/>
        <w:ind w:left="0" w:leftChars="0" w:firstLine="480" w:firstLineChars="200"/>
        <w:rPr>
          <w:rFonts w:hint="eastAsia"/>
        </w:rPr>
      </w:pPr>
      <w:r>
        <w:rPr>
          <w:rFonts w:hint="eastAsia"/>
        </w:rPr>
        <w:t>GB50254电气装置安装工程低压电器施工及验收规范</w:t>
      </w:r>
    </w:p>
    <w:p>
      <w:pPr>
        <w:numPr>
          <w:ilvl w:val="0"/>
          <w:numId w:val="7"/>
        </w:numPr>
        <w:bidi w:val="0"/>
        <w:ind w:left="0" w:leftChars="0" w:firstLine="480" w:firstLineChars="200"/>
        <w:rPr>
          <w:rFonts w:hint="eastAsia"/>
        </w:rPr>
      </w:pPr>
      <w:r>
        <w:rPr>
          <w:rFonts w:hint="eastAsia"/>
        </w:rPr>
        <w:t>GB8566计算机软件开发规范</w:t>
      </w:r>
    </w:p>
    <w:p>
      <w:pPr>
        <w:numPr>
          <w:ilvl w:val="0"/>
          <w:numId w:val="7"/>
        </w:numPr>
        <w:bidi w:val="0"/>
        <w:ind w:left="0" w:leftChars="0" w:firstLine="480" w:firstLineChars="200"/>
        <w:rPr>
          <w:rFonts w:hint="eastAsia"/>
        </w:rPr>
      </w:pPr>
      <w:r>
        <w:rPr>
          <w:rFonts w:hint="eastAsia"/>
        </w:rPr>
        <w:t>GB/T15532计算机软件单元测试</w:t>
      </w:r>
    </w:p>
    <w:p>
      <w:pPr>
        <w:numPr>
          <w:ilvl w:val="0"/>
          <w:numId w:val="7"/>
        </w:numPr>
        <w:bidi w:val="0"/>
        <w:ind w:left="0" w:leftChars="0" w:firstLine="480" w:firstLineChars="200"/>
        <w:rPr>
          <w:rFonts w:hint="eastAsia"/>
        </w:rPr>
      </w:pPr>
      <w:r>
        <w:rPr>
          <w:rFonts w:hint="eastAsia"/>
        </w:rPr>
        <w:t>GB/T9386计算机软件测试文件编写规范</w:t>
      </w:r>
    </w:p>
    <w:p>
      <w:pPr>
        <w:numPr>
          <w:ilvl w:val="0"/>
          <w:numId w:val="7"/>
        </w:numPr>
        <w:bidi w:val="0"/>
        <w:ind w:left="0" w:leftChars="0" w:firstLine="480" w:firstLineChars="200"/>
        <w:rPr>
          <w:rFonts w:hint="eastAsia"/>
        </w:rPr>
      </w:pPr>
      <w:r>
        <w:rPr>
          <w:rFonts w:hint="eastAsia"/>
        </w:rPr>
        <w:t>GB/T12504计算机软件质量保证计划规范</w:t>
      </w:r>
    </w:p>
    <w:p>
      <w:pPr>
        <w:numPr>
          <w:ilvl w:val="0"/>
          <w:numId w:val="7"/>
        </w:numPr>
        <w:bidi w:val="0"/>
        <w:ind w:left="0" w:leftChars="0" w:firstLine="480" w:firstLineChars="200"/>
        <w:rPr>
          <w:rFonts w:hint="eastAsia"/>
        </w:rPr>
      </w:pPr>
      <w:r>
        <w:rPr>
          <w:rFonts w:hint="eastAsia"/>
        </w:rPr>
        <w:t>GB/T18492系统及软件完整性级别</w:t>
      </w:r>
    </w:p>
    <w:p>
      <w:pPr>
        <w:numPr>
          <w:ilvl w:val="0"/>
          <w:numId w:val="7"/>
        </w:numPr>
        <w:bidi w:val="0"/>
        <w:ind w:left="0" w:leftChars="0" w:firstLine="480" w:firstLineChars="200"/>
        <w:rPr>
          <w:rFonts w:hint="eastAsia"/>
        </w:rPr>
      </w:pPr>
      <w:r>
        <w:rPr>
          <w:rFonts w:hint="eastAsia"/>
        </w:rPr>
        <w:t>GB8567计算机软件产品开发文件编制指南</w:t>
      </w:r>
    </w:p>
    <w:p>
      <w:pPr>
        <w:numPr>
          <w:ilvl w:val="0"/>
          <w:numId w:val="7"/>
        </w:numPr>
        <w:bidi w:val="0"/>
        <w:ind w:left="0" w:leftChars="0" w:firstLine="480" w:firstLineChars="200"/>
        <w:rPr>
          <w:rFonts w:hint="eastAsia"/>
        </w:rPr>
      </w:pPr>
      <w:r>
        <w:rPr>
          <w:rFonts w:hint="eastAsia"/>
        </w:rPr>
        <w:t>GB/T14394计算机软件可靠性和可维护性管理</w:t>
      </w:r>
    </w:p>
    <w:p>
      <w:pPr>
        <w:numPr>
          <w:ilvl w:val="0"/>
          <w:numId w:val="7"/>
        </w:numPr>
        <w:bidi w:val="0"/>
        <w:ind w:left="0" w:leftChars="0" w:firstLine="480" w:firstLineChars="200"/>
        <w:rPr>
          <w:rFonts w:hint="eastAsia"/>
        </w:rPr>
      </w:pPr>
      <w:r>
        <w:rPr>
          <w:rFonts w:hint="eastAsia"/>
        </w:rPr>
        <w:t>TC260-N0073信息安全技术信息系统安全通用技术要求</w:t>
      </w:r>
    </w:p>
    <w:p>
      <w:pPr>
        <w:numPr>
          <w:ilvl w:val="0"/>
          <w:numId w:val="7"/>
        </w:numPr>
        <w:bidi w:val="0"/>
        <w:ind w:left="0" w:leftChars="0" w:firstLine="480" w:firstLineChars="200"/>
        <w:rPr>
          <w:rFonts w:hint="eastAsia"/>
        </w:rPr>
      </w:pPr>
      <w:r>
        <w:rPr>
          <w:rFonts w:hint="eastAsia"/>
        </w:rPr>
        <w:t>GB/T14085信息处理系统计算机系统配置图符号及约定</w:t>
      </w:r>
    </w:p>
    <w:p>
      <w:pPr>
        <w:pStyle w:val="3"/>
        <w:tabs>
          <w:tab w:val="left" w:pos="0"/>
        </w:tabs>
        <w:spacing w:before="156" w:after="156"/>
      </w:pPr>
      <w:bookmarkStart w:id="1" w:name="_Toc21410_WPSOffice_Level1"/>
      <w:bookmarkStart w:id="2" w:name="_Toc20557"/>
      <w:r>
        <w:rPr>
          <w:rFonts w:hint="eastAsia"/>
        </w:rPr>
        <w:t>产品信息</w:t>
      </w:r>
      <w:r>
        <w:rPr>
          <w:rFonts w:hint="eastAsia"/>
          <w:lang w:val="en-US" w:eastAsia="zh-CN"/>
        </w:rPr>
        <w:t>及</w:t>
      </w:r>
      <w:r>
        <w:rPr>
          <w:rFonts w:hint="eastAsia"/>
        </w:rPr>
        <w:t>工厂条件</w:t>
      </w:r>
      <w:bookmarkEnd w:id="1"/>
      <w:bookmarkEnd w:id="2"/>
    </w:p>
    <w:p>
      <w:pPr>
        <w:pStyle w:val="2"/>
        <w:bidi w:val="0"/>
        <w:rPr>
          <w:rFonts w:hint="eastAsia"/>
          <w:lang w:val="en-US" w:eastAsia="zh-CN"/>
        </w:rPr>
      </w:pPr>
      <w:r>
        <w:rPr>
          <w:rFonts w:hint="eastAsia"/>
          <w:lang w:val="en-US" w:eastAsia="zh-CN"/>
        </w:rPr>
        <w:t>货物信息</w:t>
      </w:r>
    </w:p>
    <w:p>
      <w:pPr>
        <w:rPr>
          <w:rFonts w:hint="eastAsia"/>
          <w:lang w:val="en-US" w:eastAsia="zh-CN"/>
        </w:rPr>
      </w:pPr>
      <w:r>
        <w:rPr>
          <w:rFonts w:hint="eastAsia"/>
          <w:lang w:val="en-US" w:eastAsia="zh-CN"/>
        </w:rPr>
        <w:t>产品类型：机务段备品备件、大件及异形件。</w:t>
      </w:r>
    </w:p>
    <w:p>
      <w:pPr>
        <w:rPr>
          <w:rFonts w:hint="eastAsia"/>
          <w:lang w:val="en-US" w:eastAsia="zh-CN"/>
        </w:rPr>
      </w:pPr>
      <w:r>
        <w:rPr>
          <w:rFonts w:hint="eastAsia"/>
          <w:lang w:val="en-US" w:eastAsia="zh-CN"/>
        </w:rPr>
        <w:t>其中，备品备件分两类，小尺寸放置在料箱内，大尺寸放置在托盘和料笼内。</w:t>
      </w:r>
    </w:p>
    <w:p>
      <w:pPr>
        <w:rPr>
          <w:rFonts w:hint="eastAsia"/>
          <w:lang w:val="en-US" w:eastAsia="zh-CN"/>
        </w:rPr>
      </w:pPr>
      <w:r>
        <w:rPr>
          <w:rFonts w:hint="eastAsia"/>
          <w:lang w:val="en-US" w:eastAsia="zh-CN"/>
        </w:rPr>
        <w:t>其他超尺寸或超重（大件及异形件）的不进入穿梭车库和料箱库。</w:t>
      </w:r>
    </w:p>
    <w:p>
      <w:pPr>
        <w:bidi w:val="0"/>
        <w:rPr>
          <w:rFonts w:hint="eastAsia"/>
          <w:lang w:val="en-US" w:eastAsia="zh-CN"/>
        </w:rPr>
      </w:pPr>
      <w:r>
        <w:rPr>
          <w:rFonts w:hint="eastAsia"/>
          <w:lang w:val="en-US" w:eastAsia="zh-CN"/>
        </w:rPr>
        <w:t>部分物料种类如下图所示：</w:t>
      </w: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3"/>
        <w:gridCol w:w="49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3" w:type="dxa"/>
          </w:tcPr>
          <w:p>
            <w:pPr>
              <w:pStyle w:val="58"/>
              <w:bidi w:val="0"/>
              <w:rPr>
                <w:rFonts w:hint="eastAsia"/>
                <w:lang w:val="en-US" w:eastAsia="zh-CN"/>
              </w:rPr>
            </w:pPr>
            <w:r>
              <w:rPr>
                <w:rFonts w:hint="default"/>
                <w:vertAlign w:val="baseline"/>
                <w:lang w:val="en-US" w:eastAsia="zh-CN"/>
              </w:rPr>
              <w:drawing>
                <wp:inline distT="0" distB="0" distL="114300" distR="114300">
                  <wp:extent cx="2987675" cy="2241550"/>
                  <wp:effectExtent l="0" t="0" r="14605" b="13970"/>
                  <wp:docPr id="5" name="图片 5" descr="IMG_20221216_14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21216_140651"/>
                          <pic:cNvPicPr>
                            <a:picLocks noChangeAspect="1"/>
                          </pic:cNvPicPr>
                        </pic:nvPicPr>
                        <pic:blipFill>
                          <a:blip r:embed="rId10"/>
                          <a:stretch>
                            <a:fillRect/>
                          </a:stretch>
                        </pic:blipFill>
                        <pic:spPr>
                          <a:xfrm>
                            <a:off x="0" y="0"/>
                            <a:ext cx="2987675" cy="2241550"/>
                          </a:xfrm>
                          <a:prstGeom prst="rect">
                            <a:avLst/>
                          </a:prstGeom>
                        </pic:spPr>
                      </pic:pic>
                    </a:graphicData>
                  </a:graphic>
                </wp:inline>
              </w:drawing>
            </w:r>
          </w:p>
        </w:tc>
        <w:tc>
          <w:tcPr>
            <w:tcW w:w="4953" w:type="dxa"/>
          </w:tcPr>
          <w:p>
            <w:pPr>
              <w:pStyle w:val="58"/>
              <w:bidi w:val="0"/>
              <w:rPr>
                <w:rFonts w:hint="eastAsia"/>
                <w:lang w:val="en-US" w:eastAsia="zh-CN"/>
              </w:rPr>
            </w:pPr>
            <w:r>
              <w:rPr>
                <w:rFonts w:hint="default"/>
                <w:vertAlign w:val="baseline"/>
                <w:lang w:val="en-US" w:eastAsia="zh-CN"/>
              </w:rPr>
              <w:drawing>
                <wp:inline distT="0" distB="0" distL="114300" distR="114300">
                  <wp:extent cx="2935605" cy="2202180"/>
                  <wp:effectExtent l="0" t="0" r="5715" b="7620"/>
                  <wp:docPr id="7" name="图片 7" descr="IMG_20221216_14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21216_140540"/>
                          <pic:cNvPicPr>
                            <a:picLocks noChangeAspect="1"/>
                          </pic:cNvPicPr>
                        </pic:nvPicPr>
                        <pic:blipFill>
                          <a:blip r:embed="rId11"/>
                          <a:stretch>
                            <a:fillRect/>
                          </a:stretch>
                        </pic:blipFill>
                        <pic:spPr>
                          <a:xfrm>
                            <a:off x="0" y="0"/>
                            <a:ext cx="2935605" cy="220218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3" w:type="dxa"/>
          </w:tcPr>
          <w:p>
            <w:pPr>
              <w:pStyle w:val="58"/>
              <w:bidi w:val="0"/>
              <w:rPr>
                <w:rFonts w:hint="eastAsia"/>
                <w:lang w:val="en-US" w:eastAsia="zh-CN"/>
              </w:rPr>
            </w:pPr>
            <w:r>
              <w:rPr>
                <w:rFonts w:hint="eastAsia"/>
                <w:lang w:val="en-US" w:eastAsia="zh-CN"/>
              </w:rPr>
              <w:drawing>
                <wp:inline distT="0" distB="0" distL="114300" distR="114300">
                  <wp:extent cx="2995930" cy="2245995"/>
                  <wp:effectExtent l="0" t="0" r="6350" b="9525"/>
                  <wp:docPr id="8" name="图片 8" descr="微信图片_2022120910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21209102514"/>
                          <pic:cNvPicPr>
                            <a:picLocks noChangeAspect="1"/>
                          </pic:cNvPicPr>
                        </pic:nvPicPr>
                        <pic:blipFill>
                          <a:blip r:embed="rId12"/>
                          <a:stretch>
                            <a:fillRect/>
                          </a:stretch>
                        </pic:blipFill>
                        <pic:spPr>
                          <a:xfrm>
                            <a:off x="0" y="0"/>
                            <a:ext cx="2995930" cy="2245995"/>
                          </a:xfrm>
                          <a:prstGeom prst="rect">
                            <a:avLst/>
                          </a:prstGeom>
                        </pic:spPr>
                      </pic:pic>
                    </a:graphicData>
                  </a:graphic>
                </wp:inline>
              </w:drawing>
            </w:r>
          </w:p>
        </w:tc>
        <w:tc>
          <w:tcPr>
            <w:tcW w:w="4953" w:type="dxa"/>
          </w:tcPr>
          <w:p>
            <w:pPr>
              <w:pStyle w:val="58"/>
              <w:bidi w:val="0"/>
              <w:rPr>
                <w:rFonts w:hint="eastAsia"/>
                <w:lang w:val="en-US" w:eastAsia="zh-CN"/>
              </w:rPr>
            </w:pPr>
            <w:r>
              <w:rPr>
                <w:rFonts w:hint="eastAsia"/>
                <w:lang w:val="en-US" w:eastAsia="zh-CN"/>
              </w:rPr>
              <w:drawing>
                <wp:inline distT="0" distB="0" distL="114300" distR="114300">
                  <wp:extent cx="2995930" cy="2245995"/>
                  <wp:effectExtent l="0" t="0" r="6350" b="9525"/>
                  <wp:docPr id="15" name="图片 15" descr="微信图片_202212091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21209102510"/>
                          <pic:cNvPicPr>
                            <a:picLocks noChangeAspect="1"/>
                          </pic:cNvPicPr>
                        </pic:nvPicPr>
                        <pic:blipFill>
                          <a:blip r:embed="rId13"/>
                          <a:stretch>
                            <a:fillRect/>
                          </a:stretch>
                        </pic:blipFill>
                        <pic:spPr>
                          <a:xfrm>
                            <a:off x="0" y="0"/>
                            <a:ext cx="2995930" cy="2245995"/>
                          </a:xfrm>
                          <a:prstGeom prst="rect">
                            <a:avLst/>
                          </a:prstGeom>
                        </pic:spPr>
                      </pic:pic>
                    </a:graphicData>
                  </a:graphic>
                </wp:inline>
              </w:drawing>
            </w:r>
          </w:p>
        </w:tc>
      </w:tr>
    </w:tbl>
    <w:p>
      <w:pPr>
        <w:pStyle w:val="2"/>
        <w:bidi w:val="0"/>
        <w:rPr>
          <w:rFonts w:hint="eastAsia"/>
          <w:lang w:val="en-US" w:eastAsia="zh-CN"/>
        </w:rPr>
      </w:pPr>
      <w:r>
        <w:rPr>
          <w:rFonts w:hint="eastAsia"/>
          <w:lang w:val="en-US" w:eastAsia="zh-CN"/>
        </w:rPr>
        <w:t>载具信息</w:t>
      </w:r>
    </w:p>
    <w:p>
      <w:pPr>
        <w:pStyle w:val="58"/>
        <w:bidi w:val="0"/>
        <w:rPr>
          <w:rFonts w:hint="eastAsia"/>
          <w:lang w:val="en-US" w:eastAsia="zh-CN"/>
        </w:rPr>
      </w:pPr>
      <w:r>
        <w:rPr>
          <w:rFonts w:hint="eastAsia"/>
          <w:lang w:val="en-US" w:eastAsia="zh-CN"/>
        </w:rPr>
        <w:t>表2.1.1 载具尺寸表</w:t>
      </w:r>
    </w:p>
    <w:tbl>
      <w:tblPr>
        <w:tblStyle w:val="3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
        <w:gridCol w:w="676"/>
        <w:gridCol w:w="2401"/>
        <w:gridCol w:w="1385"/>
        <w:gridCol w:w="3196"/>
        <w:gridCol w:w="1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0" w:type="pct"/>
            <w:noWrap w:val="0"/>
            <w:vAlign w:val="center"/>
          </w:tcPr>
          <w:p>
            <w:pPr>
              <w:pStyle w:val="58"/>
              <w:bidi w:val="0"/>
              <w:rPr>
                <w:rFonts w:hint="eastAsia"/>
              </w:rPr>
            </w:pPr>
            <w:r>
              <w:rPr>
                <w:rFonts w:hint="eastAsia"/>
              </w:rPr>
              <w:t>序号</w:t>
            </w:r>
          </w:p>
        </w:tc>
        <w:tc>
          <w:tcPr>
            <w:tcW w:w="341" w:type="pct"/>
            <w:noWrap w:val="0"/>
            <w:vAlign w:val="center"/>
          </w:tcPr>
          <w:p>
            <w:pPr>
              <w:pStyle w:val="58"/>
              <w:bidi w:val="0"/>
              <w:rPr>
                <w:rFonts w:hint="eastAsia"/>
              </w:rPr>
            </w:pPr>
            <w:r>
              <w:rPr>
                <w:rFonts w:hint="eastAsia"/>
              </w:rPr>
              <w:t>名称</w:t>
            </w:r>
          </w:p>
        </w:tc>
        <w:tc>
          <w:tcPr>
            <w:tcW w:w="1212" w:type="pct"/>
            <w:noWrap w:val="0"/>
            <w:vAlign w:val="center"/>
          </w:tcPr>
          <w:p>
            <w:pPr>
              <w:pStyle w:val="58"/>
              <w:bidi w:val="0"/>
              <w:rPr>
                <w:rFonts w:hint="eastAsia"/>
              </w:rPr>
            </w:pPr>
            <w:r>
              <w:rPr>
                <w:rFonts w:hint="eastAsia"/>
              </w:rPr>
              <w:t>尺寸（带货物）</w:t>
            </w:r>
          </w:p>
        </w:tc>
        <w:tc>
          <w:tcPr>
            <w:tcW w:w="699" w:type="pct"/>
            <w:noWrap w:val="0"/>
            <w:vAlign w:val="center"/>
          </w:tcPr>
          <w:p>
            <w:pPr>
              <w:pStyle w:val="58"/>
              <w:bidi w:val="0"/>
              <w:rPr>
                <w:rFonts w:hint="eastAsia"/>
                <w:lang w:eastAsia="zh-CN"/>
              </w:rPr>
            </w:pPr>
            <w:r>
              <w:rPr>
                <w:rFonts w:hint="eastAsia"/>
              </w:rPr>
              <w:t>重量</w:t>
            </w:r>
            <w:r>
              <w:rPr>
                <w:rFonts w:hint="eastAsia"/>
                <w:lang w:eastAsia="zh-CN"/>
              </w:rPr>
              <w:t>（</w:t>
            </w:r>
            <w:r>
              <w:rPr>
                <w:rFonts w:hint="eastAsia"/>
                <w:lang w:val="en-US" w:eastAsia="zh-CN"/>
              </w:rPr>
              <w:t>含载具</w:t>
            </w:r>
            <w:r>
              <w:rPr>
                <w:rFonts w:hint="eastAsia"/>
                <w:lang w:eastAsia="zh-CN"/>
              </w:rPr>
              <w:t>）</w:t>
            </w:r>
          </w:p>
        </w:tc>
        <w:tc>
          <w:tcPr>
            <w:tcW w:w="1613" w:type="pct"/>
            <w:noWrap w:val="0"/>
            <w:vAlign w:val="center"/>
          </w:tcPr>
          <w:p>
            <w:pPr>
              <w:pStyle w:val="58"/>
              <w:bidi w:val="0"/>
              <w:rPr>
                <w:rFonts w:hint="eastAsia"/>
                <w:lang w:eastAsia="zh-CN"/>
              </w:rPr>
            </w:pPr>
            <w:r>
              <w:rPr>
                <w:rFonts w:hint="eastAsia"/>
              </w:rPr>
              <w:t>样式</w:t>
            </w:r>
            <w:r>
              <w:rPr>
                <w:rFonts w:hint="eastAsia"/>
                <w:lang w:eastAsia="zh-CN"/>
              </w:rPr>
              <w:t>（</w:t>
            </w:r>
            <w:r>
              <w:rPr>
                <w:rFonts w:hint="eastAsia"/>
                <w:lang w:val="en-US" w:eastAsia="zh-CN"/>
              </w:rPr>
              <w:t>仅供参考</w:t>
            </w:r>
            <w:r>
              <w:rPr>
                <w:rFonts w:hint="eastAsia"/>
                <w:lang w:eastAsia="zh-CN"/>
              </w:rPr>
              <w:t>）</w:t>
            </w:r>
          </w:p>
        </w:tc>
        <w:tc>
          <w:tcPr>
            <w:tcW w:w="912" w:type="pct"/>
            <w:noWrap w:val="0"/>
            <w:vAlign w:val="center"/>
          </w:tcPr>
          <w:p>
            <w:pPr>
              <w:pStyle w:val="58"/>
              <w:bidi w:val="0"/>
              <w:rPr>
                <w:rFonts w:hint="eastAsia" w:eastAsia="仿宋"/>
                <w:lang w:val="en-US" w:eastAsia="zh-CN"/>
              </w:rPr>
            </w:pPr>
            <w:r>
              <w:rPr>
                <w:rFonts w:hint="eastAsia"/>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0" w:type="pct"/>
            <w:noWrap w:val="0"/>
            <w:vAlign w:val="center"/>
          </w:tcPr>
          <w:p>
            <w:pPr>
              <w:pStyle w:val="58"/>
              <w:bidi w:val="0"/>
              <w:rPr>
                <w:rFonts w:hint="eastAsia"/>
              </w:rPr>
            </w:pPr>
            <w:r>
              <w:rPr>
                <w:rFonts w:hint="eastAsia"/>
              </w:rPr>
              <w:t>1</w:t>
            </w:r>
          </w:p>
        </w:tc>
        <w:tc>
          <w:tcPr>
            <w:tcW w:w="341" w:type="pct"/>
            <w:noWrap w:val="0"/>
            <w:vAlign w:val="center"/>
          </w:tcPr>
          <w:p>
            <w:pPr>
              <w:pStyle w:val="58"/>
              <w:bidi w:val="0"/>
              <w:rPr>
                <w:rFonts w:hint="eastAsia"/>
              </w:rPr>
            </w:pPr>
            <w:r>
              <w:rPr>
                <w:rFonts w:hint="eastAsia"/>
              </w:rPr>
              <w:t>料箱</w:t>
            </w:r>
          </w:p>
        </w:tc>
        <w:tc>
          <w:tcPr>
            <w:tcW w:w="1212" w:type="pct"/>
            <w:noWrap w:val="0"/>
            <w:vAlign w:val="center"/>
          </w:tcPr>
          <w:p>
            <w:pPr>
              <w:pStyle w:val="58"/>
              <w:bidi w:val="0"/>
              <w:rPr>
                <w:rFonts w:hint="eastAsia"/>
              </w:rPr>
            </w:pPr>
            <w:r>
              <w:rPr>
                <w:rFonts w:hint="eastAsia"/>
              </w:rPr>
              <w:t>600mm（L）*400mm（W）*280mm(H)（总高度≤280mm）</w:t>
            </w:r>
          </w:p>
        </w:tc>
        <w:tc>
          <w:tcPr>
            <w:tcW w:w="699" w:type="pct"/>
            <w:noWrap w:val="0"/>
            <w:vAlign w:val="center"/>
          </w:tcPr>
          <w:p>
            <w:pPr>
              <w:pStyle w:val="58"/>
              <w:bidi w:val="0"/>
              <w:rPr>
                <w:rFonts w:hint="eastAsia"/>
              </w:rPr>
            </w:pPr>
            <w:r>
              <w:rPr>
                <w:rFonts w:hint="eastAsia"/>
              </w:rPr>
              <w:t>≤</w:t>
            </w:r>
            <w:r>
              <w:rPr>
                <w:rFonts w:hint="eastAsia"/>
                <w:lang w:val="en-US" w:eastAsia="zh-CN"/>
              </w:rPr>
              <w:t>3</w:t>
            </w:r>
            <w:r>
              <w:rPr>
                <w:rFonts w:hint="eastAsia"/>
              </w:rPr>
              <w:t>0KG（含料箱）</w:t>
            </w:r>
          </w:p>
        </w:tc>
        <w:tc>
          <w:tcPr>
            <w:tcW w:w="1613" w:type="pct"/>
            <w:noWrap w:val="0"/>
            <w:vAlign w:val="center"/>
          </w:tcPr>
          <w:p>
            <w:pPr>
              <w:pStyle w:val="58"/>
              <w:bidi w:val="0"/>
              <w:rPr>
                <w:rFonts w:hint="eastAsia"/>
              </w:rPr>
            </w:pPr>
            <w:r>
              <w:rPr>
                <w:rFonts w:hint="eastAsia"/>
              </w:rPr>
              <w:drawing>
                <wp:inline distT="0" distB="0" distL="114300" distR="114300">
                  <wp:extent cx="1673225" cy="1186180"/>
                  <wp:effectExtent l="0" t="0" r="3175"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14"/>
                          <a:stretch>
                            <a:fillRect/>
                          </a:stretch>
                        </pic:blipFill>
                        <pic:spPr>
                          <a:xfrm>
                            <a:off x="0" y="0"/>
                            <a:ext cx="1673225" cy="1186180"/>
                          </a:xfrm>
                          <a:prstGeom prst="rect">
                            <a:avLst/>
                          </a:prstGeom>
                          <a:noFill/>
                          <a:ln>
                            <a:noFill/>
                          </a:ln>
                        </pic:spPr>
                      </pic:pic>
                    </a:graphicData>
                  </a:graphic>
                </wp:inline>
              </w:drawing>
            </w:r>
          </w:p>
        </w:tc>
        <w:tc>
          <w:tcPr>
            <w:tcW w:w="912" w:type="pct"/>
            <w:noWrap w:val="0"/>
            <w:vAlign w:val="center"/>
          </w:tcPr>
          <w:p>
            <w:pPr>
              <w:pStyle w:val="58"/>
              <w:bidi w:val="0"/>
              <w:rPr>
                <w:rFonts w:hint="default" w:eastAsia="仿宋"/>
                <w:lang w:val="en-US" w:eastAsia="zh-CN"/>
              </w:rPr>
            </w:pPr>
            <w:r>
              <w:rPr>
                <w:rFonts w:hint="eastAsia"/>
                <w:lang w:val="en-US" w:eastAsia="zh-CN"/>
              </w:rPr>
              <w:t>料箱不入穿梭车库，通过提升机输送至二楼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0" w:type="pct"/>
            <w:noWrap w:val="0"/>
            <w:vAlign w:val="center"/>
          </w:tcPr>
          <w:p>
            <w:pPr>
              <w:pStyle w:val="58"/>
              <w:bidi w:val="0"/>
              <w:rPr>
                <w:rFonts w:hint="eastAsia"/>
              </w:rPr>
            </w:pPr>
            <w:r>
              <w:rPr>
                <w:rFonts w:hint="eastAsia"/>
              </w:rPr>
              <w:t>2</w:t>
            </w:r>
          </w:p>
        </w:tc>
        <w:tc>
          <w:tcPr>
            <w:tcW w:w="341" w:type="pct"/>
            <w:noWrap w:val="0"/>
            <w:vAlign w:val="center"/>
          </w:tcPr>
          <w:p>
            <w:pPr>
              <w:pStyle w:val="58"/>
              <w:bidi w:val="0"/>
              <w:rPr>
                <w:rFonts w:hint="eastAsia"/>
              </w:rPr>
            </w:pPr>
            <w:r>
              <w:rPr>
                <w:rFonts w:hint="eastAsia"/>
              </w:rPr>
              <w:t>托盘</w:t>
            </w:r>
          </w:p>
        </w:tc>
        <w:tc>
          <w:tcPr>
            <w:tcW w:w="1212" w:type="pct"/>
            <w:noWrap w:val="0"/>
            <w:vAlign w:val="center"/>
          </w:tcPr>
          <w:p>
            <w:pPr>
              <w:pStyle w:val="58"/>
              <w:bidi w:val="0"/>
              <w:rPr>
                <w:rFonts w:hint="eastAsia"/>
              </w:rPr>
            </w:pPr>
            <w:r>
              <w:rPr>
                <w:rFonts w:hint="eastAsia"/>
              </w:rPr>
              <w:t>1000mm（L）*1200mm（W）*150mm(H)（总高度≤1200mm）</w:t>
            </w:r>
          </w:p>
        </w:tc>
        <w:tc>
          <w:tcPr>
            <w:tcW w:w="699" w:type="pct"/>
            <w:noWrap w:val="0"/>
            <w:vAlign w:val="center"/>
          </w:tcPr>
          <w:p>
            <w:pPr>
              <w:pStyle w:val="58"/>
              <w:bidi w:val="0"/>
              <w:rPr>
                <w:rFonts w:hint="eastAsia"/>
              </w:rPr>
            </w:pPr>
            <w:r>
              <w:rPr>
                <w:rFonts w:hint="eastAsia"/>
              </w:rPr>
              <w:t>≤1.</w:t>
            </w:r>
            <w:r>
              <w:rPr>
                <w:rFonts w:hint="eastAsia"/>
                <w:lang w:val="en-US" w:eastAsia="zh-CN"/>
              </w:rPr>
              <w:t>0</w:t>
            </w:r>
            <w:r>
              <w:rPr>
                <w:rFonts w:hint="eastAsia"/>
              </w:rPr>
              <w:t>t（含托盘）</w:t>
            </w:r>
          </w:p>
        </w:tc>
        <w:tc>
          <w:tcPr>
            <w:tcW w:w="1613" w:type="pct"/>
            <w:noWrap w:val="0"/>
            <w:vAlign w:val="center"/>
          </w:tcPr>
          <w:p>
            <w:pPr>
              <w:pStyle w:val="58"/>
              <w:bidi w:val="0"/>
              <w:rPr>
                <w:rFonts w:hint="eastAsia"/>
                <w:lang w:eastAsia="zh-CN"/>
              </w:rPr>
            </w:pPr>
            <w:r>
              <w:rPr>
                <w:rFonts w:hint="eastAsia"/>
                <w:lang w:eastAsia="zh-CN"/>
              </w:rPr>
              <w:drawing>
                <wp:inline distT="0" distB="0" distL="114300" distR="114300">
                  <wp:extent cx="1167765" cy="1097280"/>
                  <wp:effectExtent l="0" t="0" r="5715" b="0"/>
                  <wp:docPr id="9" name="图片 83" descr="托盘货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3" descr="托盘货物"/>
                          <pic:cNvPicPr>
                            <a:picLocks noChangeAspect="1"/>
                          </pic:cNvPicPr>
                        </pic:nvPicPr>
                        <pic:blipFill>
                          <a:blip r:embed="rId15"/>
                          <a:srcRect l="23726" t="30556" r="22893" b="6763"/>
                          <a:stretch>
                            <a:fillRect/>
                          </a:stretch>
                        </pic:blipFill>
                        <pic:spPr>
                          <a:xfrm>
                            <a:off x="0" y="0"/>
                            <a:ext cx="1167765" cy="1097280"/>
                          </a:xfrm>
                          <a:prstGeom prst="rect">
                            <a:avLst/>
                          </a:prstGeom>
                          <a:noFill/>
                          <a:ln>
                            <a:noFill/>
                          </a:ln>
                        </pic:spPr>
                      </pic:pic>
                    </a:graphicData>
                  </a:graphic>
                </wp:inline>
              </w:drawing>
            </w:r>
          </w:p>
        </w:tc>
        <w:tc>
          <w:tcPr>
            <w:tcW w:w="912" w:type="pct"/>
            <w:noWrap w:val="0"/>
            <w:vAlign w:val="center"/>
          </w:tcPr>
          <w:p>
            <w:pPr>
              <w:pStyle w:val="58"/>
              <w:bidi w:val="0"/>
              <w:rPr>
                <w:rFonts w:hint="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0" w:type="pct"/>
            <w:noWrap w:val="0"/>
            <w:vAlign w:val="center"/>
          </w:tcPr>
          <w:p>
            <w:pPr>
              <w:pStyle w:val="58"/>
              <w:bidi w:val="0"/>
              <w:rPr>
                <w:rFonts w:hint="eastAsia"/>
              </w:rPr>
            </w:pPr>
            <w:r>
              <w:rPr>
                <w:rFonts w:hint="eastAsia"/>
              </w:rPr>
              <w:t>3</w:t>
            </w:r>
          </w:p>
        </w:tc>
        <w:tc>
          <w:tcPr>
            <w:tcW w:w="341" w:type="pct"/>
            <w:noWrap w:val="0"/>
            <w:vAlign w:val="center"/>
          </w:tcPr>
          <w:p>
            <w:pPr>
              <w:pStyle w:val="58"/>
              <w:bidi w:val="0"/>
              <w:rPr>
                <w:rFonts w:hint="eastAsia"/>
              </w:rPr>
            </w:pPr>
            <w:r>
              <w:rPr>
                <w:rFonts w:hint="eastAsia"/>
              </w:rPr>
              <w:t>料笼</w:t>
            </w:r>
          </w:p>
        </w:tc>
        <w:tc>
          <w:tcPr>
            <w:tcW w:w="1212" w:type="pct"/>
            <w:noWrap w:val="0"/>
            <w:vAlign w:val="center"/>
          </w:tcPr>
          <w:p>
            <w:pPr>
              <w:pStyle w:val="58"/>
              <w:bidi w:val="0"/>
              <w:rPr>
                <w:rFonts w:hint="eastAsia"/>
              </w:rPr>
            </w:pPr>
            <w:r>
              <w:rPr>
                <w:rFonts w:hint="eastAsia"/>
              </w:rPr>
              <w:t>1000mm（L）*1200mm（W）*1200mm(H)（总高度≤1200mm）</w:t>
            </w:r>
          </w:p>
        </w:tc>
        <w:tc>
          <w:tcPr>
            <w:tcW w:w="699" w:type="pct"/>
            <w:noWrap w:val="0"/>
            <w:vAlign w:val="center"/>
          </w:tcPr>
          <w:p>
            <w:pPr>
              <w:pStyle w:val="58"/>
              <w:bidi w:val="0"/>
              <w:rPr>
                <w:rFonts w:hint="eastAsia"/>
              </w:rPr>
            </w:pPr>
            <w:r>
              <w:rPr>
                <w:rFonts w:hint="eastAsia"/>
              </w:rPr>
              <w:t>≤1.0t（含料笼）</w:t>
            </w:r>
          </w:p>
        </w:tc>
        <w:tc>
          <w:tcPr>
            <w:tcW w:w="1613" w:type="pct"/>
            <w:noWrap w:val="0"/>
            <w:vAlign w:val="center"/>
          </w:tcPr>
          <w:p>
            <w:pPr>
              <w:pStyle w:val="58"/>
              <w:bidi w:val="0"/>
              <w:jc w:val="both"/>
              <w:rPr>
                <w:rFonts w:hint="eastAsia"/>
              </w:rPr>
            </w:pPr>
            <w:r>
              <w:rPr>
                <w:rFonts w:hint="eastAsia"/>
              </w:rPr>
              <w:drawing>
                <wp:anchor distT="0" distB="0" distL="114300" distR="114300" simplePos="0" relativeHeight="251661312" behindDoc="0" locked="0" layoutInCell="1" allowOverlap="1">
                  <wp:simplePos x="0" y="0"/>
                  <wp:positionH relativeFrom="column">
                    <wp:posOffset>143510</wp:posOffset>
                  </wp:positionH>
                  <wp:positionV relativeFrom="paragraph">
                    <wp:posOffset>-6350</wp:posOffset>
                  </wp:positionV>
                  <wp:extent cx="1311275" cy="1039495"/>
                  <wp:effectExtent l="0" t="0" r="14605" b="12065"/>
                  <wp:wrapSquare wrapText="bothSides"/>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16"/>
                          <a:stretch>
                            <a:fillRect/>
                          </a:stretch>
                        </pic:blipFill>
                        <pic:spPr>
                          <a:xfrm>
                            <a:off x="0" y="0"/>
                            <a:ext cx="1311275" cy="1039495"/>
                          </a:xfrm>
                          <a:prstGeom prst="rect">
                            <a:avLst/>
                          </a:prstGeom>
                          <a:noFill/>
                          <a:ln>
                            <a:noFill/>
                          </a:ln>
                        </pic:spPr>
                      </pic:pic>
                    </a:graphicData>
                  </a:graphic>
                </wp:anchor>
              </w:drawing>
            </w:r>
          </w:p>
        </w:tc>
        <w:tc>
          <w:tcPr>
            <w:tcW w:w="912" w:type="pct"/>
            <w:noWrap w:val="0"/>
            <w:vAlign w:val="center"/>
          </w:tcPr>
          <w:p>
            <w:pPr>
              <w:pStyle w:val="58"/>
              <w:bidi w:val="0"/>
              <w:jc w:val="both"/>
              <w:rPr>
                <w:rFonts w:hint="eastAsia"/>
              </w:rPr>
            </w:pPr>
          </w:p>
        </w:tc>
      </w:tr>
    </w:tbl>
    <w:p>
      <w:pPr>
        <w:pStyle w:val="58"/>
        <w:bidi w:val="0"/>
        <w:rPr>
          <w:rFonts w:hint="default"/>
          <w:lang w:val="en-US" w:eastAsia="zh-CN"/>
        </w:rPr>
      </w:pPr>
    </w:p>
    <w:p>
      <w:pPr>
        <w:pStyle w:val="2"/>
        <w:bidi w:val="0"/>
        <w:rPr>
          <w:rFonts w:hint="default"/>
          <w:lang w:val="en-US" w:eastAsia="zh-CN"/>
        </w:rPr>
      </w:pPr>
      <w:bookmarkStart w:id="3" w:name="_Toc31938"/>
      <w:r>
        <w:rPr>
          <w:rFonts w:hint="eastAsia"/>
          <w:lang w:val="en-US" w:eastAsia="zh-CN"/>
        </w:rPr>
        <w:t>生产</w:t>
      </w:r>
      <w:bookmarkEnd w:id="3"/>
      <w:r>
        <w:rPr>
          <w:rFonts w:hint="eastAsia"/>
          <w:lang w:val="en-US" w:eastAsia="zh-CN"/>
        </w:rPr>
        <w:t>情况</w:t>
      </w:r>
    </w:p>
    <w:p>
      <w:pPr>
        <w:numPr>
          <w:ilvl w:val="0"/>
          <w:numId w:val="0"/>
        </w:numPr>
        <w:ind w:left="480" w:leftChars="0"/>
        <w:rPr>
          <w:rFonts w:hint="default"/>
          <w:lang w:val="en-US" w:eastAsia="zh-CN"/>
        </w:rPr>
      </w:pPr>
      <w:r>
        <w:rPr>
          <w:rFonts w:hint="default"/>
          <w:lang w:val="en-US" w:eastAsia="zh-CN"/>
        </w:rPr>
        <w:t>入库时间</w:t>
      </w:r>
      <w:r>
        <w:rPr>
          <w:rFonts w:hint="eastAsia"/>
          <w:lang w:val="en-US" w:eastAsia="zh-CN"/>
        </w:rPr>
        <w:t>12</w:t>
      </w:r>
      <w:r>
        <w:rPr>
          <w:rFonts w:hint="default"/>
          <w:lang w:val="en-US" w:eastAsia="zh-CN"/>
        </w:rPr>
        <w:t>小时/天，出库时间</w:t>
      </w:r>
      <w:r>
        <w:rPr>
          <w:rFonts w:hint="eastAsia"/>
          <w:lang w:val="en-US" w:eastAsia="zh-CN"/>
        </w:rPr>
        <w:t>12</w:t>
      </w:r>
      <w:r>
        <w:rPr>
          <w:rFonts w:hint="default"/>
          <w:lang w:val="en-US" w:eastAsia="zh-CN"/>
        </w:rPr>
        <w:t>小时/天</w:t>
      </w:r>
      <w:r>
        <w:rPr>
          <w:rFonts w:hint="eastAsia"/>
          <w:lang w:val="en-US" w:eastAsia="zh-CN"/>
        </w:rPr>
        <w:t>。</w:t>
      </w:r>
    </w:p>
    <w:p>
      <w:pPr>
        <w:pStyle w:val="2"/>
        <w:bidi w:val="0"/>
        <w:rPr>
          <w:rFonts w:hint="eastAsia" w:ascii="Times New Roman" w:hAnsi="Times New Roman" w:cs="Times New Roman"/>
          <w:lang w:val="en-US" w:eastAsia="zh-CN"/>
        </w:rPr>
      </w:pPr>
      <w:r>
        <w:rPr>
          <w:rFonts w:hint="eastAsia" w:ascii="Times New Roman" w:hAnsi="Times New Roman" w:cs="Times New Roman"/>
          <w:lang w:val="en-US" w:eastAsia="zh-CN"/>
        </w:rPr>
        <w:t>环境场地</w:t>
      </w:r>
    </w:p>
    <w:p>
      <w:pPr>
        <w:numPr>
          <w:ilvl w:val="0"/>
          <w:numId w:val="8"/>
        </w:numPr>
        <w:bidi w:val="0"/>
        <w:ind w:left="480" w:leftChars="200" w:firstLine="0" w:firstLineChars="0"/>
        <w:rPr>
          <w:rFonts w:hint="eastAsia"/>
          <w:lang w:eastAsia="zh-CN"/>
        </w:rPr>
      </w:pPr>
      <w:r>
        <w:rPr>
          <w:rFonts w:hint="eastAsia"/>
        </w:rPr>
        <w:t>工作环境温度：</w:t>
      </w:r>
      <w:r>
        <w:rPr>
          <w:rFonts w:hint="eastAsia"/>
          <w:lang w:val="en-US" w:eastAsia="zh-CN"/>
        </w:rPr>
        <w:t>室外-30</w:t>
      </w:r>
      <w:r>
        <w:rPr>
          <w:rFonts w:hint="eastAsia"/>
        </w:rPr>
        <w:t>℃～+45℃</w:t>
      </w:r>
      <w:r>
        <w:rPr>
          <w:rFonts w:hint="eastAsia"/>
          <w:lang w:eastAsia="zh-CN"/>
        </w:rPr>
        <w:t>，</w:t>
      </w:r>
      <w:r>
        <w:rPr>
          <w:rFonts w:hint="eastAsia"/>
          <w:lang w:val="en-US" w:eastAsia="zh-CN"/>
        </w:rPr>
        <w:t>室内0</w:t>
      </w:r>
      <w:r>
        <w:rPr>
          <w:rFonts w:hint="eastAsia"/>
        </w:rPr>
        <w:t>℃～+45℃。</w:t>
      </w:r>
    </w:p>
    <w:p>
      <w:pPr>
        <w:numPr>
          <w:ilvl w:val="0"/>
          <w:numId w:val="8"/>
        </w:numPr>
        <w:bidi w:val="0"/>
        <w:ind w:left="480" w:leftChars="200" w:firstLine="0" w:firstLineChars="0"/>
        <w:rPr>
          <w:rFonts w:hint="eastAsia"/>
        </w:rPr>
      </w:pPr>
      <w:r>
        <w:rPr>
          <w:rFonts w:hint="eastAsia"/>
        </w:rPr>
        <w:t>海拔高度：≤1500m。</w:t>
      </w:r>
    </w:p>
    <w:p>
      <w:pPr>
        <w:numPr>
          <w:ilvl w:val="0"/>
          <w:numId w:val="8"/>
        </w:numPr>
        <w:bidi w:val="0"/>
        <w:ind w:left="480" w:leftChars="200" w:firstLine="0" w:firstLineChars="0"/>
        <w:rPr>
          <w:rFonts w:hint="eastAsia"/>
        </w:rPr>
      </w:pPr>
      <w:r>
        <w:rPr>
          <w:rFonts w:hint="eastAsia"/>
        </w:rPr>
        <w:t>最大相对湿度：95％。</w:t>
      </w:r>
    </w:p>
    <w:p>
      <w:pPr>
        <w:numPr>
          <w:ilvl w:val="0"/>
          <w:numId w:val="8"/>
        </w:numPr>
        <w:bidi w:val="0"/>
        <w:ind w:left="480" w:leftChars="200" w:firstLine="0" w:firstLineChars="0"/>
        <w:rPr>
          <w:rFonts w:hint="eastAsia"/>
        </w:rPr>
      </w:pPr>
      <w:r>
        <w:rPr>
          <w:rFonts w:hint="eastAsia"/>
        </w:rPr>
        <w:t>场地情况：场地为封闭厂房</w:t>
      </w:r>
      <w:r>
        <w:rPr>
          <w:rFonts w:hint="eastAsia"/>
          <w:lang w:eastAsia="zh-CN"/>
        </w:rPr>
        <w:t>。</w:t>
      </w:r>
    </w:p>
    <w:p>
      <w:pPr>
        <w:numPr>
          <w:ilvl w:val="0"/>
          <w:numId w:val="8"/>
        </w:numPr>
        <w:bidi w:val="0"/>
        <w:ind w:left="420" w:leftChars="0" w:firstLine="60" w:firstLineChars="25"/>
        <w:rPr>
          <w:rFonts w:hint="eastAsia"/>
        </w:rPr>
      </w:pPr>
      <w:r>
        <w:rPr>
          <w:rFonts w:hint="eastAsia"/>
          <w:lang w:val="en-US" w:eastAsia="zh-CN"/>
        </w:rPr>
        <w:t>地面承载：现有地面承载500kg/㎡；土建重做后，1号仓库1楼为2000kg/㎡，其余仍为500kg/㎡。</w:t>
      </w:r>
    </w:p>
    <w:p>
      <w:pPr>
        <w:pStyle w:val="2"/>
        <w:bidi w:val="0"/>
        <w:rPr>
          <w:rFonts w:hint="eastAsia" w:ascii="Times New Roman" w:hAnsi="Times New Roman" w:cs="Times New Roman"/>
          <w:lang w:val="en-US" w:eastAsia="zh-CN"/>
        </w:rPr>
      </w:pPr>
      <w:r>
        <w:rPr>
          <w:rFonts w:hint="eastAsia" w:ascii="Times New Roman" w:hAnsi="Times New Roman" w:cs="Times New Roman"/>
          <w:lang w:val="en-US" w:eastAsia="zh-CN"/>
        </w:rPr>
        <w:t>电源</w:t>
      </w:r>
    </w:p>
    <w:p>
      <w:pPr>
        <w:numPr>
          <w:ilvl w:val="0"/>
          <w:numId w:val="8"/>
        </w:numPr>
        <w:bidi w:val="0"/>
        <w:ind w:left="480" w:leftChars="200" w:firstLine="0" w:firstLineChars="0"/>
        <w:rPr>
          <w:rFonts w:hint="eastAsia" w:eastAsia="仿宋"/>
          <w:lang w:val="en-US" w:eastAsia="zh-CN"/>
        </w:rPr>
      </w:pPr>
      <w:r>
        <w:rPr>
          <w:rFonts w:hint="eastAsia"/>
        </w:rPr>
        <w:t>供电电压：电压380±10％V（三相五线制），频率50±2％Hz</w:t>
      </w:r>
      <w:r>
        <w:rPr>
          <w:rFonts w:hint="eastAsia"/>
          <w:lang w:eastAsia="zh-CN"/>
        </w:rPr>
        <w:t>。</w:t>
      </w:r>
      <w:r>
        <w:rPr>
          <w:rFonts w:hint="eastAsia"/>
        </w:rPr>
        <w:t>电压</w:t>
      </w:r>
      <w:r>
        <w:rPr>
          <w:rFonts w:hint="eastAsia"/>
          <w:lang w:val="en-US" w:eastAsia="zh-CN"/>
        </w:rPr>
        <w:t>22</w:t>
      </w:r>
      <w:r>
        <w:rPr>
          <w:rFonts w:hint="eastAsia"/>
        </w:rPr>
        <w:t>0±10％V，频率50±2％Hz</w:t>
      </w:r>
    </w:p>
    <w:p>
      <w:pPr>
        <w:pStyle w:val="3"/>
        <w:bidi w:val="0"/>
        <w:rPr>
          <w:rFonts w:hint="eastAsia"/>
          <w:lang w:val="en-US" w:eastAsia="zh-CN"/>
        </w:rPr>
      </w:pPr>
      <w:bookmarkStart w:id="4" w:name="_Toc2031"/>
      <w:bookmarkStart w:id="5" w:name="_Toc28060"/>
      <w:r>
        <w:rPr>
          <w:rFonts w:hint="eastAsia"/>
          <w:lang w:val="en-US" w:eastAsia="zh-CN"/>
        </w:rPr>
        <w:t>工艺流程及设备布置</w:t>
      </w:r>
      <w:bookmarkEnd w:id="4"/>
      <w:bookmarkEnd w:id="5"/>
    </w:p>
    <w:p>
      <w:pPr>
        <w:rPr>
          <w:rFonts w:hint="default"/>
          <w:lang w:val="en-US" w:eastAsia="zh-CN"/>
        </w:rPr>
      </w:pPr>
      <w:r>
        <w:rPr>
          <w:rFonts w:hint="eastAsia"/>
          <w:lang w:val="en-US" w:eastAsia="zh-CN"/>
        </w:rPr>
        <w:t>机务库出入库工艺流程图如下：</w:t>
      </w:r>
    </w:p>
    <w:p>
      <w:pPr>
        <w:pStyle w:val="11"/>
        <w:ind w:left="0" w:leftChars="0" w:firstLine="0" w:firstLineChars="0"/>
        <w:jc w:val="center"/>
        <w:rPr>
          <w:rFonts w:hint="eastAsia" w:eastAsia="仿宋"/>
          <w:lang w:eastAsia="zh-CN"/>
        </w:rPr>
      </w:pPr>
      <w:r>
        <w:rPr>
          <w:rFonts w:hint="eastAsia" w:eastAsia="仿宋"/>
          <w:lang w:eastAsia="zh-CN"/>
        </w:rPr>
        <w:drawing>
          <wp:inline distT="0" distB="0" distL="114300" distR="114300">
            <wp:extent cx="6152515" cy="5661660"/>
            <wp:effectExtent l="0" t="0" r="4445" b="7620"/>
            <wp:docPr id="31" name="图片 31"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流程图"/>
                    <pic:cNvPicPr>
                      <a:picLocks noChangeAspect="1"/>
                    </pic:cNvPicPr>
                  </pic:nvPicPr>
                  <pic:blipFill>
                    <a:blip r:embed="rId17"/>
                    <a:stretch>
                      <a:fillRect/>
                    </a:stretch>
                  </pic:blipFill>
                  <pic:spPr>
                    <a:xfrm>
                      <a:off x="0" y="0"/>
                      <a:ext cx="6152515" cy="5661660"/>
                    </a:xfrm>
                    <a:prstGeom prst="rect">
                      <a:avLst/>
                    </a:prstGeom>
                  </pic:spPr>
                </pic:pic>
              </a:graphicData>
            </a:graphic>
          </wp:inline>
        </w:drawing>
      </w:r>
    </w:p>
    <w:p>
      <w:pPr>
        <w:pStyle w:val="2"/>
        <w:bidi w:val="0"/>
        <w:rPr>
          <w:rFonts w:hint="eastAsia"/>
          <w:lang w:val="en-US" w:eastAsia="zh-CN"/>
        </w:rPr>
      </w:pPr>
      <w:bookmarkStart w:id="6" w:name="_Toc1343"/>
      <w:r>
        <w:rPr>
          <w:rFonts w:hint="eastAsia"/>
          <w:lang w:val="en-US" w:eastAsia="zh-CN"/>
        </w:rPr>
        <w:t>流程说明</w:t>
      </w:r>
      <w:bookmarkEnd w:id="6"/>
    </w:p>
    <w:p>
      <w:pPr>
        <w:pStyle w:val="4"/>
        <w:bidi w:val="0"/>
        <w:rPr>
          <w:rFonts w:hint="eastAsia"/>
          <w:lang w:val="en-US" w:eastAsia="zh-CN"/>
        </w:rPr>
      </w:pPr>
      <w:bookmarkStart w:id="7" w:name="_Toc30554"/>
      <w:r>
        <w:rPr>
          <w:rFonts w:hint="eastAsia"/>
          <w:lang w:val="en-US" w:eastAsia="zh-CN"/>
        </w:rPr>
        <w:t>物料拣选</w:t>
      </w:r>
      <w:bookmarkEnd w:id="7"/>
    </w:p>
    <w:p>
      <w:pPr>
        <w:rPr>
          <w:rFonts w:hint="default"/>
          <w:lang w:val="en-US" w:eastAsia="zh-CN"/>
        </w:rPr>
      </w:pPr>
      <w:r>
        <w:rPr>
          <w:rFonts w:hint="eastAsia"/>
          <w:lang w:val="en-US" w:eastAsia="zh-CN"/>
        </w:rPr>
        <w:t>物料来料后在2号库进行RFID的贴标及物料拣选工作。人工根据物料类型将其分为三种装载模式：托盘装载、料箱装载和地堆存放。贴标完成后需要将物料RFID信息与载具进行绑定。</w:t>
      </w:r>
    </w:p>
    <w:p>
      <w:pPr>
        <w:pStyle w:val="4"/>
        <w:bidi w:val="0"/>
        <w:rPr>
          <w:rFonts w:hint="eastAsia"/>
          <w:lang w:val="en-US" w:eastAsia="zh-CN"/>
        </w:rPr>
      </w:pPr>
      <w:bookmarkStart w:id="8" w:name="_Toc4179"/>
      <w:r>
        <w:rPr>
          <w:rFonts w:hint="eastAsia"/>
          <w:lang w:val="en-US" w:eastAsia="zh-CN"/>
        </w:rPr>
        <w:t>托盘物料入库</w:t>
      </w:r>
      <w:bookmarkEnd w:id="8"/>
    </w:p>
    <w:p>
      <w:pPr>
        <w:rPr>
          <w:rFonts w:hint="eastAsia"/>
          <w:lang w:val="en-US" w:eastAsia="zh-CN"/>
        </w:rPr>
      </w:pPr>
      <w:r>
        <w:rPr>
          <w:rFonts w:hint="eastAsia"/>
          <w:lang w:val="en-US" w:eastAsia="zh-CN"/>
        </w:rPr>
        <w:t>人工下达入库作业指令，WMS系统自动将作业指令、收货信息转换成入库任务。</w:t>
      </w:r>
    </w:p>
    <w:p>
      <w:pPr>
        <w:rPr>
          <w:rFonts w:hint="eastAsia"/>
          <w:lang w:val="en-US" w:eastAsia="zh-CN"/>
        </w:rPr>
      </w:pPr>
      <w:r>
        <w:rPr>
          <w:rFonts w:hint="eastAsia"/>
          <w:lang w:val="en-US" w:eastAsia="zh-CN"/>
        </w:rPr>
        <w:t>叉车AGV在2号库AGV交接位收取货物，通过户外通道送到1号库一楼四向穿梭车库入库口处。</w:t>
      </w:r>
    </w:p>
    <w:p>
      <w:pPr>
        <w:rPr>
          <w:rFonts w:hint="eastAsia"/>
          <w:lang w:val="en-US" w:eastAsia="zh-CN"/>
        </w:rPr>
      </w:pPr>
      <w:r>
        <w:rPr>
          <w:rFonts w:hint="eastAsia"/>
          <w:lang w:val="en-US" w:eastAsia="zh-CN"/>
        </w:rPr>
        <w:t>托盘货物在入库口上线后依次经过尺寸检测和称重及条码阅读。尺寸不合格的托盘货物或没有信息录入的托盘货物将自动退回，由人工做异常处理。完毕后，巷道四向穿梭车和出入库输送机系统协调作业，将满足入库参数的托盘货物送到货架货位中存储，仓储管理系统WMS自动更新库存信息。</w:t>
      </w:r>
    </w:p>
    <w:p>
      <w:pPr>
        <w:pStyle w:val="4"/>
        <w:bidi w:val="0"/>
        <w:rPr>
          <w:rFonts w:hint="eastAsia"/>
          <w:lang w:val="en-US" w:eastAsia="zh-CN"/>
        </w:rPr>
      </w:pPr>
      <w:bookmarkStart w:id="9" w:name="_Toc12090"/>
      <w:r>
        <w:rPr>
          <w:rFonts w:hint="eastAsia"/>
          <w:lang w:val="en-US" w:eastAsia="zh-CN"/>
        </w:rPr>
        <w:t>料箱物料入库</w:t>
      </w:r>
      <w:bookmarkEnd w:id="9"/>
    </w:p>
    <w:p>
      <w:pPr>
        <w:rPr>
          <w:rFonts w:hint="eastAsia"/>
          <w:lang w:val="en-US" w:eastAsia="zh-CN"/>
        </w:rPr>
      </w:pPr>
      <w:r>
        <w:rPr>
          <w:rFonts w:hint="eastAsia"/>
          <w:lang w:val="en-US" w:eastAsia="zh-CN"/>
        </w:rPr>
        <w:t>人工下达入库作业指令，WMS系统自动将作业指令、收货信息转换成入库任务。</w:t>
      </w:r>
    </w:p>
    <w:p>
      <w:pPr>
        <w:rPr>
          <w:rFonts w:hint="eastAsia"/>
          <w:lang w:val="en-US" w:eastAsia="zh-CN"/>
        </w:rPr>
      </w:pPr>
      <w:r>
        <w:rPr>
          <w:rFonts w:hint="eastAsia"/>
          <w:lang w:val="en-US" w:eastAsia="zh-CN"/>
        </w:rPr>
        <w:t>AGV叉车从2号库AGV交接位取货后搬运到1号库料箱库换箱分拣区，换箱后的料箱通过入库线体和提升机系统协调作业，输送到1号库二楼输送线后，通过料箱式AGV搬运至货架货位中存储，仓储管理系统WMS自动更新库存信息。</w:t>
      </w:r>
    </w:p>
    <w:p>
      <w:pPr>
        <w:pStyle w:val="4"/>
        <w:bidi w:val="0"/>
        <w:rPr>
          <w:rFonts w:hint="default"/>
          <w:lang w:val="en-US" w:eastAsia="zh-CN"/>
        </w:rPr>
      </w:pPr>
      <w:bookmarkStart w:id="10" w:name="_Toc11777"/>
      <w:r>
        <w:rPr>
          <w:rFonts w:hint="eastAsia"/>
          <w:lang w:val="en-US" w:eastAsia="zh-CN"/>
        </w:rPr>
        <w:t>托盘物料出库</w:t>
      </w:r>
      <w:bookmarkEnd w:id="10"/>
    </w:p>
    <w:p>
      <w:pPr>
        <w:pStyle w:val="11"/>
        <w:rPr>
          <w:rFonts w:hint="eastAsia"/>
          <w:lang w:val="en-US" w:eastAsia="zh-CN"/>
        </w:rPr>
      </w:pPr>
      <w:r>
        <w:rPr>
          <w:rFonts w:hint="eastAsia"/>
          <w:lang w:val="en-US" w:eastAsia="zh-CN"/>
        </w:rPr>
        <w:t>WMS系统根据上位系统/人工下发的作业计划单，下达出库指令，操作人员在操作计算机上进行出库确认。</w:t>
      </w:r>
    </w:p>
    <w:p>
      <w:pPr>
        <w:pStyle w:val="11"/>
        <w:rPr>
          <w:rFonts w:hint="eastAsia"/>
          <w:lang w:val="en-US" w:eastAsia="zh-CN"/>
        </w:rPr>
      </w:pPr>
      <w:r>
        <w:rPr>
          <w:rFonts w:hint="eastAsia"/>
          <w:lang w:val="en-US" w:eastAsia="zh-CN"/>
        </w:rPr>
        <w:t>WCS系统依据出库指令，按照既定的出库原则（先入先出、指定出库等），穿梭车和出库输送线、提升机系统协调作业，将所需托盘物料输送至出库口，由AGV搬运至出库暂存区由人工拣选。</w:t>
      </w:r>
    </w:p>
    <w:p>
      <w:pPr>
        <w:pStyle w:val="11"/>
        <w:rPr>
          <w:rFonts w:hint="eastAsia"/>
          <w:lang w:val="en-US" w:eastAsia="zh-CN"/>
        </w:rPr>
      </w:pPr>
      <w:r>
        <w:rPr>
          <w:rFonts w:hint="eastAsia"/>
          <w:lang w:val="en-US" w:eastAsia="zh-CN"/>
        </w:rPr>
        <w:t>作业人员拣选对应数量的物资，拣选完成后，AGV将剩余物资搬运回库，出库货物由人工搬运出库，WMS系统更新库存信息。</w:t>
      </w:r>
    </w:p>
    <w:p>
      <w:pPr>
        <w:rPr>
          <w:rFonts w:hint="eastAsia"/>
          <w:lang w:val="en-US" w:eastAsia="zh-CN"/>
        </w:rPr>
      </w:pPr>
      <w:r>
        <w:rPr>
          <w:rFonts w:hint="eastAsia"/>
          <w:lang w:val="en-US" w:eastAsia="zh-CN"/>
        </w:rPr>
        <w:t>空托盘在出库后由人工码垛，并通过叉车搬运到2号库使用。同时四向穿梭车库具备空托盘垛人工上（下）线入（出）库的功能。</w:t>
      </w:r>
    </w:p>
    <w:p>
      <w:pPr>
        <w:pStyle w:val="4"/>
        <w:bidi w:val="0"/>
        <w:rPr>
          <w:rFonts w:hint="default"/>
          <w:lang w:val="en-US" w:eastAsia="zh-CN"/>
        </w:rPr>
      </w:pPr>
      <w:bookmarkStart w:id="11" w:name="_Toc5224"/>
      <w:r>
        <w:rPr>
          <w:rFonts w:hint="eastAsia"/>
          <w:lang w:val="en-US" w:eastAsia="zh-CN"/>
        </w:rPr>
        <w:t>料箱物料出库</w:t>
      </w:r>
      <w:bookmarkEnd w:id="11"/>
    </w:p>
    <w:p>
      <w:pPr>
        <w:rPr>
          <w:rFonts w:hint="eastAsia"/>
          <w:lang w:val="en-US" w:eastAsia="zh-CN"/>
        </w:rPr>
      </w:pPr>
      <w:r>
        <w:rPr>
          <w:rFonts w:hint="eastAsia"/>
          <w:lang w:val="en-US" w:eastAsia="zh-CN"/>
        </w:rPr>
        <w:t>WMS系统根据上位系统/人工下发的作业计划单，下达出库指令，WMS的操作人员在操作计算机上进行出库确认。</w:t>
      </w:r>
    </w:p>
    <w:p>
      <w:pPr>
        <w:rPr>
          <w:rFonts w:hint="eastAsia"/>
          <w:lang w:val="en-US" w:eastAsia="zh-CN"/>
        </w:rPr>
      </w:pPr>
      <w:r>
        <w:rPr>
          <w:rFonts w:hint="eastAsia"/>
          <w:lang w:val="en-US" w:eastAsia="zh-CN"/>
        </w:rPr>
        <w:t>WCS系统依据出库指令，按照既定的出库原则（先入先出、指定出库等），由AGV将所需料箱物料输送至出输送线上，通过提升机将物料输送至一楼人工换箱/分拣区，人工对出库料箱做分拣，拣选完成后，出库货物由人工搬运至出库区；物资尾料及空箱则由输送线提升机再通过AGV接驳送返回库内。</w:t>
      </w:r>
    </w:p>
    <w:p>
      <w:pPr>
        <w:pStyle w:val="11"/>
        <w:rPr>
          <w:rFonts w:hint="eastAsia"/>
          <w:lang w:val="en-US" w:eastAsia="zh-CN"/>
        </w:rPr>
      </w:pPr>
      <w:r>
        <w:rPr>
          <w:rFonts w:hint="eastAsia"/>
          <w:lang w:val="en-US" w:eastAsia="zh-CN"/>
        </w:rPr>
        <w:t>空料箱由WMS系统管理，当料箱库有入库需求时，系统下发空料箱出库任务，空料箱通过料箱AGV和提升机协调出库经下层输送线输出。</w:t>
      </w:r>
    </w:p>
    <w:p>
      <w:pPr>
        <w:pStyle w:val="4"/>
        <w:bidi w:val="0"/>
        <w:rPr>
          <w:rFonts w:hint="default"/>
          <w:lang w:val="en-US" w:eastAsia="zh-CN"/>
        </w:rPr>
      </w:pPr>
      <w:bookmarkStart w:id="12" w:name="_Toc6507"/>
      <w:r>
        <w:rPr>
          <w:rFonts w:hint="eastAsia"/>
          <w:lang w:val="en-US" w:eastAsia="zh-CN"/>
        </w:rPr>
        <w:t>异形物料出入库</w:t>
      </w:r>
      <w:bookmarkEnd w:id="12"/>
    </w:p>
    <w:p>
      <w:pPr>
        <w:rPr>
          <w:rFonts w:hint="default"/>
          <w:lang w:val="en-US" w:eastAsia="zh-CN"/>
        </w:rPr>
      </w:pPr>
      <w:r>
        <w:rPr>
          <w:rFonts w:hint="eastAsia"/>
          <w:lang w:val="en-US" w:eastAsia="zh-CN"/>
        </w:rPr>
        <w:t>经过拣选和贴标签的异形物料存放在2号库地堆区，出入库由人工通过手持设备操作完成，仓储管理系统WMS更新库存信息。</w:t>
      </w:r>
    </w:p>
    <w:p>
      <w:pPr>
        <w:pStyle w:val="2"/>
        <w:rPr>
          <w:rFonts w:hint="eastAsia"/>
          <w:lang w:val="en-US" w:eastAsia="zh-CN"/>
        </w:rPr>
      </w:pPr>
      <w:bookmarkStart w:id="13" w:name="_Toc106"/>
      <w:r>
        <w:rPr>
          <w:rFonts w:hint="eastAsia"/>
          <w:lang w:val="en-US" w:eastAsia="zh-CN"/>
        </w:rPr>
        <w:t>设备布局图</w:t>
      </w:r>
      <w:bookmarkEnd w:id="13"/>
    </w:p>
    <w:p>
      <w:pPr>
        <w:pStyle w:val="4"/>
        <w:bidi w:val="0"/>
        <w:rPr>
          <w:rFonts w:hint="eastAsia"/>
          <w:lang w:val="en-US" w:eastAsia="zh-CN"/>
        </w:rPr>
      </w:pPr>
      <w:r>
        <w:rPr>
          <w:rFonts w:hint="eastAsia"/>
          <w:lang w:val="en-US" w:eastAsia="zh-CN"/>
        </w:rPr>
        <w:t>2号库设备布局图</w:t>
      </w:r>
    </w:p>
    <w:p>
      <w:pPr>
        <w:ind w:left="0" w:leftChars="0" w:firstLine="0" w:firstLineChars="0"/>
      </w:pPr>
      <w:r>
        <w:drawing>
          <wp:inline distT="0" distB="0" distL="114300" distR="114300">
            <wp:extent cx="6147435" cy="2544445"/>
            <wp:effectExtent l="0" t="0" r="9525" b="63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8"/>
                    <a:stretch>
                      <a:fillRect/>
                    </a:stretch>
                  </pic:blipFill>
                  <pic:spPr>
                    <a:xfrm>
                      <a:off x="0" y="0"/>
                      <a:ext cx="6147435" cy="254444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1号库一楼设备布局图</w:t>
      </w:r>
    </w:p>
    <w:p>
      <w:pPr>
        <w:ind w:left="0" w:leftChars="0" w:firstLine="0" w:firstLineChars="0"/>
      </w:pPr>
      <w:r>
        <w:drawing>
          <wp:inline distT="0" distB="0" distL="114300" distR="114300">
            <wp:extent cx="2644775" cy="6141720"/>
            <wp:effectExtent l="0" t="0" r="0" b="698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9"/>
                    <a:stretch>
                      <a:fillRect/>
                    </a:stretch>
                  </pic:blipFill>
                  <pic:spPr>
                    <a:xfrm rot="16200000">
                      <a:off x="0" y="0"/>
                      <a:ext cx="2644775" cy="614172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1号库二楼设备布局图</w:t>
      </w:r>
    </w:p>
    <w:p>
      <w:pPr>
        <w:ind w:left="0" w:leftChars="0" w:firstLine="0" w:firstLineChars="0"/>
      </w:pPr>
      <w:r>
        <w:drawing>
          <wp:inline distT="0" distB="0" distL="114300" distR="114300">
            <wp:extent cx="2448560" cy="6104890"/>
            <wp:effectExtent l="0" t="0" r="6350" b="508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20"/>
                    <a:stretch>
                      <a:fillRect/>
                    </a:stretch>
                  </pic:blipFill>
                  <pic:spPr>
                    <a:xfrm rot="16200000">
                      <a:off x="0" y="0"/>
                      <a:ext cx="2448560" cy="6104890"/>
                    </a:xfrm>
                    <a:prstGeom prst="rect">
                      <a:avLst/>
                    </a:prstGeom>
                    <a:noFill/>
                    <a:ln>
                      <a:noFill/>
                    </a:ln>
                  </pic:spPr>
                </pic:pic>
              </a:graphicData>
            </a:graphic>
          </wp:inline>
        </w:drawing>
      </w:r>
    </w:p>
    <w:p>
      <w:pPr>
        <w:pStyle w:val="3"/>
        <w:bidi w:val="0"/>
        <w:rPr>
          <w:rFonts w:hint="default"/>
          <w:lang w:val="en-US" w:eastAsia="zh-CN"/>
        </w:rPr>
      </w:pPr>
      <w:bookmarkStart w:id="14" w:name="_Toc23476"/>
      <w:bookmarkStart w:id="15" w:name="_Toc938_WPSOffice_Level1"/>
      <w:bookmarkStart w:id="16" w:name="_Toc12312"/>
      <w:r>
        <w:rPr>
          <w:rFonts w:hint="eastAsia"/>
          <w:lang w:val="en-US" w:eastAsia="zh-CN"/>
        </w:rPr>
        <w:t>供货范围</w:t>
      </w:r>
      <w:bookmarkEnd w:id="14"/>
      <w:bookmarkEnd w:id="15"/>
      <w:bookmarkEnd w:id="16"/>
    </w:p>
    <w:p>
      <w:pPr>
        <w:numPr>
          <w:ilvl w:val="0"/>
          <w:numId w:val="0"/>
        </w:numPr>
        <w:spacing w:line="360" w:lineRule="auto"/>
        <w:ind w:firstLine="420"/>
        <w:jc w:val="left"/>
        <w:outlineLvl w:val="9"/>
        <w:rPr>
          <w:rFonts w:hint="default" w:ascii="仿宋" w:hAnsi="仿宋" w:eastAsia="仿宋" w:cs="仿宋"/>
          <w:b w:val="0"/>
          <w:bCs w:val="0"/>
          <w:kern w:val="2"/>
          <w:sz w:val="24"/>
          <w:szCs w:val="24"/>
          <w:lang w:val="en-US" w:eastAsia="zh-CN"/>
        </w:rPr>
      </w:pPr>
      <w:r>
        <w:rPr>
          <w:rFonts w:hint="eastAsia" w:ascii="仿宋" w:hAnsi="仿宋" w:eastAsia="仿宋" w:cs="仿宋"/>
          <w:b w:val="0"/>
          <w:bCs w:val="0"/>
          <w:kern w:val="2"/>
          <w:sz w:val="24"/>
          <w:szCs w:val="24"/>
          <w:lang w:val="en-US" w:eastAsia="zh-CN"/>
        </w:rPr>
        <w:t>供货范围以及要求如下表所示</w:t>
      </w:r>
      <w:r>
        <w:rPr>
          <w:rFonts w:hint="eastAsia" w:ascii="仿宋" w:hAnsi="仿宋" w:cs="仿宋"/>
          <w:b w:val="0"/>
          <w:bCs w:val="0"/>
          <w:kern w:val="2"/>
          <w:sz w:val="24"/>
          <w:szCs w:val="24"/>
          <w:lang w:val="en-US" w:eastAsia="zh-CN"/>
        </w:rPr>
        <w:t>，包含设备的包装运输及安装调试。</w:t>
      </w:r>
    </w:p>
    <w:p>
      <w:pPr>
        <w:pStyle w:val="56"/>
        <w:bidi w:val="0"/>
        <w:rPr>
          <w:rFonts w:hint="eastAsia"/>
          <w:lang w:val="en-US" w:eastAsia="zh-CN"/>
        </w:rPr>
      </w:pPr>
      <w:r>
        <w:rPr>
          <w:rFonts w:hint="eastAsia"/>
          <w:lang w:val="en-US" w:eastAsia="zh-CN"/>
        </w:rPr>
        <w:t>表4.1.1 供货范围一览表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79"/>
        <w:gridCol w:w="2485"/>
        <w:gridCol w:w="1080"/>
        <w:gridCol w:w="1080"/>
        <w:gridCol w:w="41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pPr>
            <w:r>
              <w:rPr>
                <w:rFonts w:hint="eastAsia"/>
                <w:lang w:val="en-US" w:eastAsia="zh-CN"/>
              </w:rPr>
              <w:t>序号</w:t>
            </w:r>
          </w:p>
        </w:tc>
        <w:tc>
          <w:tcPr>
            <w:tcW w:w="125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eastAsia"/>
              </w:rPr>
            </w:pPr>
            <w:r>
              <w:rPr>
                <w:rFonts w:hint="eastAsia"/>
                <w:lang w:val="en-US" w:eastAsia="zh-CN"/>
              </w:rPr>
              <w:t>设备名称</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数量</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单位</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设备规格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545" w:type="pct"/>
            <w:tcBorders>
              <w:top w:val="single" w:color="000000" w:sz="4" w:space="0"/>
              <w:left w:val="single" w:color="000000" w:sz="4" w:space="0"/>
              <w:bottom w:val="single" w:color="000000" w:sz="4" w:space="0"/>
              <w:right w:val="single" w:color="000000" w:sz="4" w:space="0"/>
            </w:tcBorders>
            <w:shd w:val="clear" w:color="auto" w:fill="DEEBF6"/>
            <w:noWrap/>
            <w:vAlign w:val="center"/>
          </w:tcPr>
          <w:p>
            <w:pPr>
              <w:pStyle w:val="58"/>
              <w:bidi w:val="0"/>
              <w:rPr>
                <w:rFonts w:hint="eastAsia"/>
              </w:rPr>
            </w:pPr>
            <w:r>
              <w:rPr>
                <w:rFonts w:hint="eastAsia"/>
                <w:lang w:val="en-US" w:eastAsia="zh-CN"/>
              </w:rPr>
              <w:t>一</w:t>
            </w:r>
          </w:p>
        </w:tc>
        <w:tc>
          <w:tcPr>
            <w:tcW w:w="4454" w:type="pct"/>
            <w:gridSpan w:val="4"/>
            <w:tcBorders>
              <w:top w:val="single" w:color="000000" w:sz="4" w:space="0"/>
              <w:left w:val="single" w:color="000000" w:sz="4" w:space="0"/>
              <w:bottom w:val="single" w:color="000000" w:sz="4" w:space="0"/>
              <w:right w:val="single" w:color="000000" w:sz="4" w:space="0"/>
            </w:tcBorders>
            <w:shd w:val="clear" w:color="auto" w:fill="DEEBF6"/>
            <w:vAlign w:val="center"/>
          </w:tcPr>
          <w:p>
            <w:pPr>
              <w:pStyle w:val="58"/>
              <w:bidi w:val="0"/>
              <w:rPr>
                <w:rFonts w:hint="eastAsia"/>
              </w:rPr>
            </w:pPr>
            <w:r>
              <w:rPr>
                <w:rFonts w:hint="eastAsia"/>
                <w:lang w:val="en-US" w:eastAsia="zh-CN"/>
              </w:rPr>
              <w:t>软件系统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1</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WMS</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仓库管理系统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4"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2</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接口软件</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与国家能源集团物资</w:t>
            </w:r>
            <w:r>
              <w:rPr>
                <w:rFonts w:hint="default"/>
                <w:lang w:val="en-US" w:eastAsia="zh-CN"/>
              </w:rPr>
              <w:t>ERP</w:t>
            </w:r>
            <w:r>
              <w:rPr>
                <w:rFonts w:hint="eastAsia"/>
                <w:lang w:val="en-US" w:eastAsia="zh-CN"/>
              </w:rPr>
              <w:t>、新朔铁路既有网络上位系统对接；与国自系统对接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545" w:type="pct"/>
            <w:tcBorders>
              <w:top w:val="single" w:color="000000" w:sz="4" w:space="0"/>
              <w:left w:val="single" w:color="000000" w:sz="4" w:space="0"/>
              <w:bottom w:val="single" w:color="000000" w:sz="4" w:space="0"/>
              <w:right w:val="single" w:color="000000" w:sz="4" w:space="0"/>
            </w:tcBorders>
            <w:shd w:val="clear" w:color="auto" w:fill="DEEBF6"/>
            <w:noWrap/>
            <w:vAlign w:val="center"/>
          </w:tcPr>
          <w:p>
            <w:pPr>
              <w:pStyle w:val="58"/>
              <w:bidi w:val="0"/>
              <w:rPr>
                <w:rFonts w:hint="eastAsia"/>
              </w:rPr>
            </w:pPr>
            <w:r>
              <w:rPr>
                <w:rFonts w:hint="eastAsia"/>
                <w:lang w:val="en-US" w:eastAsia="zh-CN"/>
              </w:rPr>
              <w:t>二</w:t>
            </w:r>
          </w:p>
        </w:tc>
        <w:tc>
          <w:tcPr>
            <w:tcW w:w="4454" w:type="pct"/>
            <w:gridSpan w:val="4"/>
            <w:tcBorders>
              <w:top w:val="single" w:color="000000" w:sz="4" w:space="0"/>
              <w:left w:val="single" w:color="000000" w:sz="4" w:space="0"/>
              <w:bottom w:val="single" w:color="000000" w:sz="4" w:space="0"/>
              <w:right w:val="single" w:color="000000" w:sz="4" w:space="0"/>
            </w:tcBorders>
            <w:shd w:val="clear" w:color="auto" w:fill="DEEBF6"/>
            <w:vAlign w:val="center"/>
          </w:tcPr>
          <w:p>
            <w:pPr>
              <w:pStyle w:val="58"/>
              <w:bidi w:val="0"/>
              <w:rPr>
                <w:rFonts w:hint="eastAsia"/>
              </w:rPr>
            </w:pPr>
            <w:r>
              <w:rPr>
                <w:rFonts w:hint="eastAsia"/>
                <w:lang w:val="en-US" w:eastAsia="zh-CN"/>
              </w:rPr>
              <w:t>服务器及网络设备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52"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1</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服务器</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2</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台</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DELL</w:t>
            </w:r>
            <w:r>
              <w:rPr>
                <w:rFonts w:hint="eastAsia"/>
                <w:lang w:val="en-US" w:eastAsia="zh-CN"/>
              </w:rPr>
              <w:t>，</w:t>
            </w:r>
            <w:r>
              <w:rPr>
                <w:rFonts w:hint="default"/>
                <w:lang w:val="en-US" w:eastAsia="zh-CN"/>
              </w:rPr>
              <w:t>8C/16T 3.4G</w:t>
            </w:r>
            <w:r>
              <w:rPr>
                <w:rFonts w:hint="eastAsia"/>
                <w:lang w:val="en-US" w:eastAsia="zh-CN"/>
              </w:rPr>
              <w:t>中央处理器</w:t>
            </w:r>
            <w:r>
              <w:rPr>
                <w:rFonts w:hint="default"/>
                <w:lang w:val="en-US" w:eastAsia="zh-CN"/>
              </w:rPr>
              <w:t>/16G DDR4 RDIMM</w:t>
            </w:r>
            <w:r>
              <w:rPr>
                <w:rFonts w:hint="eastAsia"/>
                <w:lang w:val="en-US" w:eastAsia="zh-CN"/>
              </w:rPr>
              <w:t>内存</w:t>
            </w:r>
            <w:r>
              <w:rPr>
                <w:rFonts w:hint="default"/>
                <w:lang w:val="en-US" w:eastAsia="zh-CN"/>
              </w:rPr>
              <w:t>/3*2T SAS 7.2K</w:t>
            </w:r>
            <w:r>
              <w:rPr>
                <w:rFonts w:hint="eastAsia"/>
                <w:lang w:val="en-US" w:eastAsia="zh-CN"/>
              </w:rPr>
              <w:t>硬盘</w:t>
            </w:r>
            <w:r>
              <w:rPr>
                <w:rFonts w:hint="default"/>
                <w:lang w:val="en-US" w:eastAsia="zh-CN"/>
              </w:rPr>
              <w:t>/RADI5/2*1000M</w:t>
            </w:r>
            <w:r>
              <w:rPr>
                <w:rFonts w:hint="eastAsia"/>
                <w:lang w:val="en-US" w:eastAsia="zh-CN"/>
              </w:rPr>
              <w:t>网口</w:t>
            </w:r>
            <w:r>
              <w:rPr>
                <w:rFonts w:hint="default"/>
                <w:lang w:val="en-US" w:eastAsia="zh-CN"/>
              </w:rPr>
              <w:t>/1*250W</w:t>
            </w:r>
            <w:r>
              <w:rPr>
                <w:rFonts w:hint="eastAsia"/>
                <w:lang w:val="en-US" w:eastAsia="zh-CN"/>
              </w:rPr>
              <w:t>电源、机架式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2</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交换机</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3</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台</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华三，≥8接口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3</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无线访问接入点（</w:t>
            </w:r>
            <w:r>
              <w:rPr>
                <w:rFonts w:hint="default"/>
                <w:lang w:val="en-US" w:eastAsia="zh-CN"/>
              </w:rPr>
              <w:t>AP</w:t>
            </w:r>
            <w:r>
              <w:rPr>
                <w:rFonts w:hint="eastAsia"/>
                <w:lang w:val="en-US" w:eastAsia="zh-CN"/>
              </w:rPr>
              <w:t>）</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4</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无线访问接入点（</w:t>
            </w:r>
            <w:r>
              <w:rPr>
                <w:rFonts w:hint="default"/>
                <w:lang w:val="en-US" w:eastAsia="zh-CN"/>
              </w:rPr>
              <w:t>AP</w:t>
            </w:r>
            <w:r>
              <w:rPr>
                <w:rFonts w:hint="eastAsia"/>
                <w:lang w:val="en-US" w:eastAsia="zh-CN"/>
              </w:rPr>
              <w:t>）</w:t>
            </w:r>
            <w:r>
              <w:rPr>
                <w:rFonts w:hint="default"/>
                <w:lang w:val="en-US" w:eastAsia="zh-CN"/>
              </w:rPr>
              <w:t>Ubnt Rocket M5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004"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4</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不间断电源（</w:t>
            </w:r>
            <w:r>
              <w:rPr>
                <w:rFonts w:hint="default"/>
                <w:lang w:val="en-US" w:eastAsia="zh-CN"/>
              </w:rPr>
              <w:t>UPS</w:t>
            </w:r>
            <w:r>
              <w:rPr>
                <w:rFonts w:hint="eastAsia"/>
                <w:lang w:val="en-US" w:eastAsia="zh-CN"/>
              </w:rPr>
              <w:t>）</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品牌：</w:t>
            </w:r>
            <w:r>
              <w:rPr>
                <w:rFonts w:hint="default"/>
                <w:lang w:val="en-US" w:eastAsia="zh-CN"/>
              </w:rPr>
              <w:t>C3K</w:t>
            </w:r>
            <w:r>
              <w:rPr>
                <w:rFonts w:hint="eastAsia"/>
                <w:lang w:val="en-US" w:eastAsia="zh-CN"/>
              </w:rPr>
              <w:t>，输入电压：</w:t>
            </w:r>
            <w:r>
              <w:rPr>
                <w:rFonts w:hint="default"/>
                <w:lang w:val="en-US" w:eastAsia="zh-CN"/>
              </w:rPr>
              <w:t>120-275VAC</w:t>
            </w:r>
            <w:r>
              <w:rPr>
                <w:rFonts w:hint="eastAsia"/>
                <w:lang w:val="en-US" w:eastAsia="zh-CN"/>
              </w:rPr>
              <w:t>；输出电压：</w:t>
            </w:r>
            <w:r>
              <w:rPr>
                <w:rFonts w:hint="default"/>
                <w:lang w:val="en-US" w:eastAsia="zh-CN"/>
              </w:rPr>
              <w:t xml:space="preserve">220VAC </w:t>
            </w:r>
            <w:r>
              <w:rPr>
                <w:rFonts w:hint="eastAsia"/>
                <w:lang w:val="en-US" w:eastAsia="zh-CN"/>
              </w:rPr>
              <w:t>；输出精度：±</w:t>
            </w:r>
            <w:r>
              <w:rPr>
                <w:rFonts w:hint="default"/>
                <w:lang w:val="en-US" w:eastAsia="zh-CN"/>
              </w:rPr>
              <w:t>1%</w:t>
            </w:r>
            <w:r>
              <w:rPr>
                <w:rFonts w:hint="eastAsia"/>
                <w:lang w:val="en-US" w:eastAsia="zh-CN"/>
              </w:rPr>
              <w:t>；外置电池（续航</w:t>
            </w:r>
            <w:r>
              <w:rPr>
                <w:rFonts w:hint="default"/>
                <w:lang w:val="en-US" w:eastAsia="zh-CN"/>
              </w:rPr>
              <w:t>3</w:t>
            </w:r>
            <w:r>
              <w:rPr>
                <w:rFonts w:hint="eastAsia"/>
                <w:lang w:val="en-US" w:eastAsia="zh-CN"/>
              </w:rPr>
              <w:t>小时以上）；</w:t>
            </w:r>
            <w:r>
              <w:rPr>
                <w:rFonts w:hint="default"/>
                <w:lang w:val="en-US" w:eastAsia="zh-CN"/>
              </w:rPr>
              <w:t>LED</w:t>
            </w:r>
            <w:r>
              <w:rPr>
                <w:rFonts w:hint="eastAsia"/>
                <w:lang w:val="en-US" w:eastAsia="zh-CN"/>
              </w:rPr>
              <w:t>显示：负载</w:t>
            </w:r>
            <w:r>
              <w:rPr>
                <w:rFonts w:hint="default"/>
                <w:lang w:val="en-US" w:eastAsia="zh-CN"/>
              </w:rPr>
              <w:t>/</w:t>
            </w:r>
            <w:r>
              <w:rPr>
                <w:rFonts w:hint="eastAsia"/>
                <w:lang w:val="en-US" w:eastAsia="zh-CN"/>
              </w:rPr>
              <w:t>电量</w:t>
            </w:r>
            <w:r>
              <w:rPr>
                <w:rFonts w:hint="default"/>
                <w:lang w:val="en-US" w:eastAsia="zh-CN"/>
              </w:rPr>
              <w:t>/</w:t>
            </w:r>
            <w:r>
              <w:rPr>
                <w:rFonts w:hint="eastAsia"/>
                <w:lang w:val="en-US" w:eastAsia="zh-CN"/>
              </w:rPr>
              <w:t>输入</w:t>
            </w:r>
            <w:r>
              <w:rPr>
                <w:rFonts w:hint="default"/>
                <w:lang w:val="en-US" w:eastAsia="zh-CN"/>
              </w:rPr>
              <w:t>/</w:t>
            </w:r>
            <w:r>
              <w:rPr>
                <w:rFonts w:hint="eastAsia"/>
                <w:lang w:val="en-US" w:eastAsia="zh-CN"/>
              </w:rPr>
              <w:t>输出</w:t>
            </w:r>
            <w:r>
              <w:rPr>
                <w:rFonts w:hint="default"/>
                <w:lang w:val="en-US" w:eastAsia="zh-CN"/>
              </w:rPr>
              <w:t>/</w:t>
            </w:r>
            <w:r>
              <w:rPr>
                <w:rFonts w:hint="eastAsia"/>
                <w:lang w:val="en-US" w:eastAsia="zh-CN"/>
              </w:rPr>
              <w:t>运行模式；环境参数：温度</w:t>
            </w:r>
            <w:r>
              <w:rPr>
                <w:rFonts w:hint="default"/>
                <w:lang w:val="en-US" w:eastAsia="zh-CN"/>
              </w:rPr>
              <w:t>0-40C</w:t>
            </w:r>
            <w:r>
              <w:rPr>
                <w:rFonts w:hint="eastAsia"/>
                <w:lang w:val="en-US" w:eastAsia="zh-CN"/>
              </w:rPr>
              <w:t>，湿度</w:t>
            </w:r>
            <w:r>
              <w:rPr>
                <w:rFonts w:hint="default"/>
                <w:lang w:val="en-US" w:eastAsia="zh-CN"/>
              </w:rPr>
              <w:t>20-90%</w:t>
            </w:r>
            <w:r>
              <w:rPr>
                <w:rFonts w:hint="eastAsia"/>
                <w:lang w:val="en-US" w:eastAsia="zh-CN"/>
              </w:rPr>
              <w:t>（无凝露），噪声小于</w:t>
            </w:r>
            <w:r>
              <w:rPr>
                <w:rFonts w:hint="default"/>
                <w:lang w:val="en-US" w:eastAsia="zh-CN"/>
              </w:rPr>
              <w:t>50dB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440"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5</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服务器机柜</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个</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图腾</w:t>
            </w:r>
            <w:r>
              <w:rPr>
                <w:rFonts w:hint="default"/>
                <w:lang w:val="en-US" w:eastAsia="zh-CN"/>
              </w:rPr>
              <w:t xml:space="preserve">G36042 </w:t>
            </w:r>
            <w:r>
              <w:rPr>
                <w:rFonts w:hint="eastAsia"/>
                <w:lang w:val="en-US" w:eastAsia="zh-CN"/>
              </w:rPr>
              <w:t>（</w:t>
            </w:r>
            <w:r>
              <w:rPr>
                <w:rFonts w:hint="default"/>
                <w:lang w:val="en-US" w:eastAsia="zh-CN"/>
              </w:rPr>
              <w:t>2000*1000*600mm</w:t>
            </w:r>
            <w:r>
              <w:rPr>
                <w:rFonts w:hint="eastAsia"/>
                <w:lang w:val="en-US" w:eastAsia="zh-CN"/>
              </w:rPr>
              <w:t>）；机柜门：网孔门；机柜风扇：选配</w:t>
            </w:r>
            <w:r>
              <w:rPr>
                <w:rFonts w:hint="default"/>
                <w:lang w:val="en-US" w:eastAsia="zh-CN"/>
              </w:rPr>
              <w:t>4</w:t>
            </w:r>
            <w:r>
              <w:rPr>
                <w:rFonts w:hint="eastAsia"/>
                <w:lang w:val="en-US" w:eastAsia="zh-CN"/>
              </w:rPr>
              <w:t>只；机柜托盘选配</w:t>
            </w:r>
            <w:r>
              <w:rPr>
                <w:rFonts w:hint="default"/>
                <w:lang w:val="en-US" w:eastAsia="zh-CN"/>
              </w:rPr>
              <w:t>2</w:t>
            </w:r>
            <w:r>
              <w:rPr>
                <w:rFonts w:hint="eastAsia"/>
                <w:lang w:val="en-US" w:eastAsia="zh-CN"/>
              </w:rPr>
              <w:t>个；电源：选配</w:t>
            </w:r>
            <w:r>
              <w:rPr>
                <w:rFonts w:hint="default"/>
                <w:lang w:val="en-US" w:eastAsia="zh-CN"/>
              </w:rPr>
              <w:t>2</w:t>
            </w:r>
            <w:r>
              <w:rPr>
                <w:rFonts w:hint="eastAsia"/>
                <w:lang w:val="en-US" w:eastAsia="zh-CN"/>
              </w:rPr>
              <w:t>个</w:t>
            </w:r>
            <w:r>
              <w:rPr>
                <w:rFonts w:hint="default"/>
                <w:lang w:val="en-US" w:eastAsia="zh-CN"/>
              </w:rPr>
              <w:t>8</w:t>
            </w:r>
            <w:r>
              <w:rPr>
                <w:rFonts w:hint="eastAsia"/>
                <w:lang w:val="en-US" w:eastAsia="zh-CN"/>
              </w:rPr>
              <w:t>位</w:t>
            </w:r>
            <w:r>
              <w:rPr>
                <w:rFonts w:hint="default"/>
                <w:lang w:val="en-US" w:eastAsia="zh-CN"/>
              </w:rPr>
              <w:t>10A PDU</w:t>
            </w:r>
            <w:r>
              <w:rPr>
                <w:rFonts w:hint="eastAsia"/>
                <w:lang w:val="en-US" w:eastAsia="zh-CN"/>
              </w:rPr>
              <w:t>电源</w:t>
            </w:r>
            <w:r>
              <w:rPr>
                <w:rFonts w:hint="default"/>
                <w:lang w:val="en-US" w:eastAsia="zh-CN"/>
              </w:rPr>
              <w:t>;1</w:t>
            </w:r>
            <w:r>
              <w:rPr>
                <w:rFonts w:hint="eastAsia"/>
                <w:lang w:val="en-US" w:eastAsia="zh-CN"/>
              </w:rPr>
              <w:t>个</w:t>
            </w:r>
            <w:r>
              <w:rPr>
                <w:rFonts w:hint="default"/>
                <w:lang w:val="en-US" w:eastAsia="zh-CN"/>
              </w:rPr>
              <w:t>KVM</w:t>
            </w:r>
            <w:r>
              <w:rPr>
                <w:rFonts w:hint="eastAsia"/>
                <w:lang w:val="en-US" w:eastAsia="zh-CN"/>
              </w:rPr>
              <w:t>；防护等级：</w:t>
            </w:r>
            <w:r>
              <w:rPr>
                <w:rFonts w:hint="default"/>
                <w:lang w:val="en-US" w:eastAsia="zh-CN"/>
              </w:rPr>
              <w:t>IP20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6</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双机热备软件</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RoseReplicater Professional</w:t>
            </w:r>
            <w:r>
              <w:rPr>
                <w:rFonts w:hint="eastAsia"/>
                <w:lang w:val="en-US" w:eastAsia="zh-CN"/>
              </w:rPr>
              <w:t>数据复制镜像软件</w:t>
            </w:r>
            <w:r>
              <w:rPr>
                <w:rFonts w:hint="default"/>
                <w:lang w:val="en-US" w:eastAsia="zh-CN"/>
              </w:rPr>
              <w:t>v6.0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7</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服务器操作系统</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2</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Lunix</w:t>
            </w:r>
            <w:r>
              <w:rPr>
                <w:rFonts w:hint="eastAsia"/>
                <w:lang w:val="en-US" w:eastAsia="zh-CN"/>
              </w:rPr>
              <w:t>操作系统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0"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8</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防火墙</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虚拟防火墙技术，支持中央处理器（</w:t>
            </w:r>
            <w:r>
              <w:rPr>
                <w:rFonts w:hint="default"/>
                <w:lang w:val="en-US" w:eastAsia="zh-CN"/>
              </w:rPr>
              <w:t>CPU</w:t>
            </w:r>
            <w:r>
              <w:rPr>
                <w:rFonts w:hint="eastAsia"/>
                <w:lang w:val="en-US" w:eastAsia="zh-CN"/>
              </w:rPr>
              <w:t>）、内存、存储等硬件资源划分的安全虚拟化；</w:t>
            </w:r>
            <w:r>
              <w:rPr>
                <w:rFonts w:hint="eastAsia"/>
                <w:lang w:val="en-US" w:eastAsia="zh-CN"/>
              </w:rPr>
              <w:br w:type="textWrapping"/>
            </w:r>
            <w:r>
              <w:rPr>
                <w:rFonts w:hint="eastAsia"/>
                <w:lang w:val="en-US" w:eastAsia="zh-CN"/>
              </w:rPr>
              <w:t>病毒防护：基于病毒特征进行检测；</w:t>
            </w:r>
            <w:r>
              <w:rPr>
                <w:rFonts w:hint="eastAsia"/>
                <w:lang w:val="en-US" w:eastAsia="zh-CN"/>
              </w:rPr>
              <w:br w:type="textWrapping"/>
            </w:r>
            <w:r>
              <w:rPr>
                <w:rFonts w:hint="eastAsia"/>
                <w:lang w:val="en-US" w:eastAsia="zh-CN"/>
              </w:rPr>
              <w:t>支持对黑客攻击、蠕虫病毒、木马、恶意代码、间谍软件等常见的攻击防御；</w:t>
            </w:r>
            <w:r>
              <w:rPr>
                <w:rFonts w:hint="eastAsia"/>
                <w:lang w:val="en-US" w:eastAsia="zh-CN"/>
              </w:rPr>
              <w:br w:type="textWrapping"/>
            </w:r>
            <w:r>
              <w:rPr>
                <w:rFonts w:hint="eastAsia"/>
                <w:lang w:val="en-US" w:eastAsia="zh-CN"/>
              </w:rPr>
              <w:t>支持Web方式进行远程配置管理。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545" w:type="pct"/>
            <w:tcBorders>
              <w:top w:val="single" w:color="000000" w:sz="4" w:space="0"/>
              <w:left w:val="single" w:color="000000" w:sz="4" w:space="0"/>
              <w:bottom w:val="single" w:color="000000" w:sz="4" w:space="0"/>
              <w:right w:val="single" w:color="000000" w:sz="4" w:space="0"/>
            </w:tcBorders>
            <w:shd w:val="clear" w:color="auto" w:fill="DEEBF6"/>
            <w:noWrap/>
            <w:vAlign w:val="center"/>
          </w:tcPr>
          <w:p>
            <w:pPr>
              <w:pStyle w:val="58"/>
              <w:bidi w:val="0"/>
              <w:rPr>
                <w:rFonts w:hint="eastAsia"/>
              </w:rPr>
            </w:pPr>
            <w:r>
              <w:rPr>
                <w:rFonts w:hint="eastAsia"/>
                <w:lang w:val="en-US" w:eastAsia="zh-CN"/>
              </w:rPr>
              <w:t>三</w:t>
            </w:r>
          </w:p>
        </w:tc>
        <w:tc>
          <w:tcPr>
            <w:tcW w:w="4454" w:type="pct"/>
            <w:gridSpan w:val="4"/>
            <w:tcBorders>
              <w:top w:val="single" w:color="000000" w:sz="4" w:space="0"/>
              <w:left w:val="single" w:color="000000" w:sz="4" w:space="0"/>
              <w:bottom w:val="single" w:color="000000" w:sz="4" w:space="0"/>
              <w:right w:val="single" w:color="000000" w:sz="4" w:space="0"/>
            </w:tcBorders>
            <w:shd w:val="clear" w:color="auto" w:fill="DEEBF6"/>
            <w:vAlign w:val="center"/>
          </w:tcPr>
          <w:p>
            <w:pPr>
              <w:pStyle w:val="58"/>
              <w:bidi w:val="0"/>
              <w:rPr>
                <w:rFonts w:hint="eastAsia"/>
              </w:rPr>
            </w:pPr>
            <w:r>
              <w:rPr>
                <w:rFonts w:hint="eastAsia"/>
                <w:lang w:val="en-US" w:eastAsia="zh-CN"/>
              </w:rPr>
              <w:t>外设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1</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电子大屏</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4</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个</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小米，</w:t>
            </w:r>
            <w:r>
              <w:rPr>
                <w:rFonts w:hint="default"/>
                <w:lang w:val="en-US" w:eastAsia="zh-CN"/>
              </w:rPr>
              <w:t>65</w:t>
            </w:r>
            <w:r>
              <w:rPr>
                <w:rFonts w:hint="eastAsia"/>
                <w:lang w:val="en-US" w:eastAsia="zh-CN"/>
              </w:rPr>
              <w:t xml:space="preserve">英寸全面屏 </w:t>
            </w:r>
            <w:r>
              <w:rPr>
                <w:rFonts w:hint="default"/>
                <w:lang w:val="en-US" w:eastAsia="zh-CN"/>
              </w:rPr>
              <w:t>4K HDR</w:t>
            </w:r>
            <w:r>
              <w:rPr>
                <w:rFonts w:hint="eastAsia"/>
                <w:lang w:val="en-US" w:eastAsia="zh-CN"/>
              </w:rPr>
              <w:t xml:space="preserve">超高清 蓝牙语音遥控 </w:t>
            </w:r>
            <w:r>
              <w:rPr>
                <w:rFonts w:hint="default"/>
                <w:lang w:val="en-US" w:eastAsia="zh-CN"/>
              </w:rPr>
              <w:t>2.4G/5G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4"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2</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条码打印机</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标签类型：条码打印机</w:t>
            </w:r>
            <w:r>
              <w:rPr>
                <w:rFonts w:hint="eastAsia"/>
                <w:lang w:val="en-US" w:eastAsia="zh-CN"/>
              </w:rPr>
              <w:br w:type="textWrapping"/>
            </w:r>
            <w:r>
              <w:rPr>
                <w:rFonts w:hint="eastAsia"/>
                <w:lang w:val="en-US" w:eastAsia="zh-CN"/>
              </w:rPr>
              <w:t>打印方式：热敏/热感应双模式</w:t>
            </w:r>
            <w:r>
              <w:rPr>
                <w:rFonts w:hint="eastAsia"/>
                <w:lang w:val="en-US" w:eastAsia="zh-CN"/>
              </w:rPr>
              <w:br w:type="textWrapping"/>
            </w:r>
            <w:r>
              <w:rPr>
                <w:rFonts w:hint="eastAsia"/>
                <w:lang w:val="en-US" w:eastAsia="zh-CN"/>
              </w:rPr>
              <w:t>分辨率：203dpi；</w:t>
            </w:r>
            <w:r>
              <w:rPr>
                <w:rFonts w:hint="eastAsia"/>
                <w:lang w:val="en-US" w:eastAsia="zh-CN"/>
              </w:rPr>
              <w:br w:type="textWrapping"/>
            </w:r>
            <w:r>
              <w:rPr>
                <w:rFonts w:hint="eastAsia"/>
                <w:lang w:val="en-US" w:eastAsia="zh-CN"/>
              </w:rPr>
              <w:t>打印速度：127mm/s</w:t>
            </w:r>
            <w:r>
              <w:rPr>
                <w:rFonts w:hint="eastAsia"/>
                <w:lang w:val="en-US" w:eastAsia="zh-CN"/>
              </w:rPr>
              <w:br w:type="textWrapping"/>
            </w:r>
            <w:r>
              <w:rPr>
                <w:rFonts w:hint="eastAsia"/>
                <w:lang w:val="en-US" w:eastAsia="zh-CN"/>
              </w:rPr>
              <w:t>耗材类型：铜版纸；</w:t>
            </w:r>
            <w:r>
              <w:rPr>
                <w:rFonts w:hint="eastAsia"/>
                <w:lang w:val="en-US" w:eastAsia="zh-CN"/>
              </w:rPr>
              <w:br w:type="textWrapping"/>
            </w:r>
            <w:r>
              <w:rPr>
                <w:rFonts w:hint="eastAsia"/>
                <w:lang w:val="en-US" w:eastAsia="zh-CN"/>
              </w:rPr>
              <w:t>连接方式：USB/网口；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3</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RFID标签打印机</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1</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4</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设备管理一体机</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2</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DELL</w:t>
            </w:r>
            <w:r>
              <w:rPr>
                <w:rFonts w:hint="eastAsia"/>
                <w:lang w:val="en-US" w:eastAsia="zh-CN"/>
              </w:rPr>
              <w:t>，中央处理器</w:t>
            </w:r>
            <w:r>
              <w:rPr>
                <w:rFonts w:hint="default"/>
                <w:lang w:val="en-US" w:eastAsia="zh-CN"/>
              </w:rPr>
              <w:t>Intel i7</w:t>
            </w:r>
            <w:r>
              <w:rPr>
                <w:rFonts w:hint="eastAsia"/>
                <w:lang w:val="en-US" w:eastAsia="zh-CN"/>
              </w:rPr>
              <w:t xml:space="preserve">，内存 </w:t>
            </w:r>
            <w:r>
              <w:rPr>
                <w:rFonts w:hint="default"/>
                <w:lang w:val="en-US" w:eastAsia="zh-CN"/>
              </w:rPr>
              <w:t>16G</w:t>
            </w:r>
            <w:r>
              <w:rPr>
                <w:rFonts w:hint="eastAsia"/>
                <w:lang w:val="en-US" w:eastAsia="zh-CN"/>
              </w:rPr>
              <w:t xml:space="preserve">，硬盘 </w:t>
            </w:r>
            <w:r>
              <w:rPr>
                <w:rFonts w:hint="default"/>
                <w:lang w:val="en-US" w:eastAsia="zh-CN"/>
              </w:rPr>
              <w:t>256G</w:t>
            </w:r>
            <w:r>
              <w:rPr>
                <w:rFonts w:hint="eastAsia"/>
                <w:lang w:val="en-US" w:eastAsia="zh-CN"/>
              </w:rPr>
              <w:t>固态硬盘</w:t>
            </w:r>
            <w:r>
              <w:rPr>
                <w:rFonts w:hint="default"/>
                <w:lang w:val="en-US" w:eastAsia="zh-CN"/>
              </w:rPr>
              <w:t>+1T HDD</w:t>
            </w:r>
            <w:r>
              <w:rPr>
                <w:rFonts w:hint="eastAsia"/>
                <w:lang w:val="en-US" w:eastAsia="zh-CN"/>
              </w:rPr>
              <w:t>硬盘</w:t>
            </w:r>
            <w:r>
              <w:rPr>
                <w:rFonts w:hint="default"/>
                <w:lang w:val="en-US" w:eastAsia="zh-CN"/>
              </w:rPr>
              <w:t>/</w:t>
            </w:r>
            <w:r>
              <w:rPr>
                <w:rFonts w:hint="eastAsia"/>
                <w:lang w:val="en-US" w:eastAsia="zh-CN"/>
              </w:rPr>
              <w:t>黑白激光打复印扫描功能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2" w:hRule="atLeast"/>
        </w:trPr>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5</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射频识别（</w:t>
            </w:r>
            <w:r>
              <w:rPr>
                <w:rFonts w:hint="default"/>
                <w:lang w:val="en-US" w:eastAsia="zh-CN"/>
              </w:rPr>
              <w:t>RFID</w:t>
            </w:r>
            <w:r>
              <w:rPr>
                <w:rFonts w:hint="eastAsia"/>
                <w:lang w:val="en-US" w:eastAsia="zh-CN"/>
              </w:rPr>
              <w:t>）标签</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4</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套</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（1）工作频段：902~928MHz 或 865~868MHz</w:t>
            </w:r>
            <w:r>
              <w:rPr>
                <w:rFonts w:hint="eastAsia"/>
                <w:lang w:val="en-US" w:eastAsia="zh-CN"/>
              </w:rPr>
              <w:br w:type="textWrapping"/>
            </w:r>
            <w:r>
              <w:rPr>
                <w:rFonts w:hint="eastAsia"/>
                <w:lang w:val="en-US" w:eastAsia="zh-CN"/>
              </w:rPr>
              <w:t>（可以按不同国家或地区要求调整）</w:t>
            </w:r>
            <w:r>
              <w:rPr>
                <w:rFonts w:hint="eastAsia"/>
                <w:lang w:val="en-US" w:eastAsia="zh-CN"/>
              </w:rPr>
              <w:br w:type="textWrapping"/>
            </w:r>
            <w:r>
              <w:rPr>
                <w:rFonts w:hint="eastAsia"/>
                <w:lang w:val="en-US" w:eastAsia="zh-CN"/>
              </w:rPr>
              <w:t>（2）协议：标准 EPC C1G2（ISO18000-6C）</w:t>
            </w:r>
            <w:r>
              <w:rPr>
                <w:rFonts w:hint="eastAsia"/>
                <w:lang w:val="en-US" w:eastAsia="zh-CN"/>
              </w:rPr>
              <w:br w:type="textWrapping"/>
            </w:r>
            <w:r>
              <w:rPr>
                <w:rFonts w:hint="eastAsia"/>
                <w:lang w:val="en-US" w:eastAsia="zh-CN"/>
              </w:rPr>
              <w:t>（3）射频识别（RFID） 标签读取距离15-20m；</w:t>
            </w:r>
            <w:r>
              <w:rPr>
                <w:rFonts w:hint="eastAsia"/>
                <w:lang w:val="en-US" w:eastAsia="zh-CN"/>
              </w:rPr>
              <w:br w:type="textWrapping"/>
            </w:r>
            <w:r>
              <w:rPr>
                <w:rFonts w:hint="eastAsia"/>
                <w:lang w:val="en-US" w:eastAsia="zh-CN"/>
              </w:rPr>
              <w:t>（4）天线增益≥5dbi</w:t>
            </w:r>
            <w:r>
              <w:rPr>
                <w:rFonts w:hint="eastAsia"/>
                <w:lang w:val="en-US" w:eastAsia="zh-CN"/>
              </w:rPr>
              <w:br w:type="textWrapping"/>
            </w:r>
            <w:r>
              <w:rPr>
                <w:rFonts w:hint="eastAsia"/>
                <w:lang w:val="en-US" w:eastAsia="zh-CN"/>
              </w:rPr>
              <w:t>（5）功率0-30dbm可调</w:t>
            </w:r>
            <w:r>
              <w:rPr>
                <w:rFonts w:hint="eastAsia"/>
                <w:lang w:val="en-US" w:eastAsia="zh-CN"/>
              </w:rPr>
              <w:br w:type="textWrapping"/>
            </w:r>
            <w:r>
              <w:rPr>
                <w:rFonts w:hint="eastAsia"/>
                <w:lang w:val="en-US" w:eastAsia="zh-CN"/>
              </w:rPr>
              <w:t>（6）阅读速度：每秒 200 个标签天线类型圆极化天线</w:t>
            </w:r>
            <w:r>
              <w:rPr>
                <w:rFonts w:hint="eastAsia"/>
                <w:lang w:val="en-US" w:eastAsia="zh-CN"/>
              </w:rPr>
              <w:br w:type="textWrapping"/>
            </w:r>
            <w:r>
              <w:rPr>
                <w:rFonts w:hint="eastAsia"/>
                <w:lang w:val="en-US" w:eastAsia="zh-CN"/>
              </w:rPr>
              <w:t>（7）兼容金属及非金属两种特征，抗金属干扰</w:t>
            </w:r>
            <w:r>
              <w:rPr>
                <w:rFonts w:hint="eastAsia"/>
                <w:lang w:val="en-US" w:eastAsia="zh-CN"/>
              </w:rPr>
              <w:br w:type="textWrapping"/>
            </w:r>
            <w:r>
              <w:rPr>
                <w:rFonts w:hint="eastAsia"/>
                <w:lang w:val="en-US" w:eastAsia="zh-CN"/>
              </w:rPr>
              <w:t>（8）每套共需提供2000张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545" w:type="pct"/>
            <w:tcBorders>
              <w:top w:val="single" w:color="000000" w:sz="4" w:space="0"/>
              <w:left w:val="single" w:color="000000" w:sz="4" w:space="0"/>
              <w:bottom w:val="single" w:color="000000" w:sz="4" w:space="0"/>
              <w:right w:val="single" w:color="000000" w:sz="4" w:space="0"/>
            </w:tcBorders>
            <w:shd w:val="clear"/>
            <w:noWrap/>
            <w:vAlign w:val="center"/>
          </w:tcPr>
          <w:p>
            <w:pPr>
              <w:pStyle w:val="58"/>
              <w:bidi w:val="0"/>
              <w:rPr>
                <w:rFonts w:hint="default"/>
              </w:rPr>
            </w:pPr>
            <w:r>
              <w:rPr>
                <w:rFonts w:hint="default"/>
                <w:lang w:val="en-US" w:eastAsia="zh-CN"/>
              </w:rPr>
              <w:t>6</w:t>
            </w:r>
          </w:p>
        </w:tc>
        <w:tc>
          <w:tcPr>
            <w:tcW w:w="125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RFID</w:t>
            </w:r>
            <w:r>
              <w:rPr>
                <w:rFonts w:hint="eastAsia"/>
                <w:lang w:val="en-US" w:eastAsia="zh-CN"/>
              </w:rPr>
              <w:t>手持终端（具备</w:t>
            </w:r>
            <w:r>
              <w:rPr>
                <w:rFonts w:hint="default"/>
                <w:lang w:val="en-US" w:eastAsia="zh-CN"/>
              </w:rPr>
              <w:t>2G/3G/4G</w:t>
            </w:r>
            <w:r>
              <w:rPr>
                <w:rFonts w:hint="eastAsia"/>
                <w:lang w:val="en-US" w:eastAsia="zh-CN"/>
              </w:rPr>
              <w:t>功能）</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default"/>
              </w:rPr>
            </w:pPr>
            <w:r>
              <w:rPr>
                <w:rFonts w:hint="default"/>
                <w:lang w:val="en-US" w:eastAsia="zh-CN"/>
              </w:rPr>
              <w:t>5</w:t>
            </w:r>
          </w:p>
        </w:tc>
        <w:tc>
          <w:tcPr>
            <w:tcW w:w="545"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台</w:t>
            </w:r>
          </w:p>
        </w:tc>
        <w:tc>
          <w:tcPr>
            <w:tcW w:w="2107" w:type="pct"/>
            <w:tcBorders>
              <w:top w:val="single" w:color="000000" w:sz="4" w:space="0"/>
              <w:left w:val="single" w:color="000000" w:sz="4" w:space="0"/>
              <w:bottom w:val="single" w:color="000000" w:sz="4" w:space="0"/>
              <w:right w:val="single" w:color="000000" w:sz="4" w:space="0"/>
            </w:tcBorders>
            <w:shd w:val="clear"/>
            <w:vAlign w:val="center"/>
          </w:tcPr>
          <w:p>
            <w:pPr>
              <w:pStyle w:val="58"/>
              <w:bidi w:val="0"/>
              <w:rPr>
                <w:rFonts w:hint="eastAsia"/>
              </w:rPr>
            </w:pPr>
            <w:r>
              <w:rPr>
                <w:rFonts w:hint="eastAsia"/>
                <w:lang w:val="en-US" w:eastAsia="zh-CN"/>
              </w:rPr>
              <w:t>江苏东大（东大集成）</w:t>
            </w:r>
            <w:bookmarkStart w:id="88" w:name="_GoBack"/>
            <w:bookmarkEnd w:id="88"/>
          </w:p>
        </w:tc>
      </w:tr>
    </w:tbl>
    <w:p>
      <w:pPr>
        <w:rPr>
          <w:rFonts w:hint="eastAsia"/>
          <w:lang w:val="en-US" w:eastAsia="zh-CN"/>
        </w:rPr>
      </w:pPr>
    </w:p>
    <w:p>
      <w:pPr>
        <w:pStyle w:val="3"/>
        <w:bidi w:val="0"/>
        <w:rPr>
          <w:rFonts w:hint="default"/>
          <w:lang w:val="en-US" w:eastAsia="zh-CN"/>
        </w:rPr>
      </w:pPr>
      <w:bookmarkStart w:id="17" w:name="_Toc28118"/>
      <w:r>
        <w:rPr>
          <w:rFonts w:hint="eastAsia"/>
          <w:lang w:val="en-US" w:eastAsia="zh-CN"/>
        </w:rPr>
        <w:t>系统要求</w:t>
      </w:r>
      <w:bookmarkEnd w:id="17"/>
    </w:p>
    <w:p>
      <w:pPr>
        <w:pStyle w:val="2"/>
        <w:bidi w:val="0"/>
        <w:rPr>
          <w:rFonts w:hint="eastAsia"/>
          <w:lang w:val="en-AU" w:eastAsia="zh-CN"/>
        </w:rPr>
      </w:pPr>
      <w:bookmarkStart w:id="18" w:name="_Toc4786"/>
      <w:bookmarkStart w:id="19" w:name="_Toc10484"/>
      <w:r>
        <w:rPr>
          <w:rFonts w:hint="eastAsia"/>
          <w:lang w:val="en-US" w:eastAsia="zh-CN"/>
        </w:rPr>
        <w:t>系统架构</w:t>
      </w:r>
    </w:p>
    <w:p>
      <w:pPr>
        <w:ind w:left="0" w:leftChars="0" w:firstLine="0" w:firstLineChars="0"/>
        <w:rPr>
          <w:rFonts w:hint="eastAsia"/>
          <w:lang w:val="en-AU" w:eastAsia="zh-CN"/>
        </w:rPr>
      </w:pPr>
      <w:r>
        <w:rPr>
          <w:rFonts w:hint="eastAsia"/>
          <w:lang w:val="en-AU" w:eastAsia="zh-CN"/>
        </w:rPr>
        <w:drawing>
          <wp:inline distT="0" distB="0" distL="114300" distR="114300">
            <wp:extent cx="6144895" cy="5517515"/>
            <wp:effectExtent l="0" t="0" r="12065" b="14605"/>
            <wp:docPr id="10" name="图片 10" descr="硬件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硬件架构图2"/>
                    <pic:cNvPicPr>
                      <a:picLocks noChangeAspect="1"/>
                    </pic:cNvPicPr>
                  </pic:nvPicPr>
                  <pic:blipFill>
                    <a:blip r:embed="rId21"/>
                    <a:stretch>
                      <a:fillRect/>
                    </a:stretch>
                  </pic:blipFill>
                  <pic:spPr>
                    <a:xfrm>
                      <a:off x="0" y="0"/>
                      <a:ext cx="6144895" cy="5517515"/>
                    </a:xfrm>
                    <a:prstGeom prst="rect">
                      <a:avLst/>
                    </a:prstGeom>
                  </pic:spPr>
                </pic:pic>
              </a:graphicData>
            </a:graphic>
          </wp:inline>
        </w:drawing>
      </w:r>
    </w:p>
    <w:p>
      <w:pPr>
        <w:pStyle w:val="56"/>
        <w:bidi w:val="0"/>
        <w:rPr>
          <w:rFonts w:hint="default"/>
          <w:lang w:val="en-US" w:eastAsia="zh-CN"/>
        </w:rPr>
      </w:pPr>
      <w:r>
        <w:rPr>
          <w:rFonts w:hint="eastAsia"/>
          <w:lang w:val="en-US" w:eastAsia="zh-CN"/>
        </w:rPr>
        <w:t>硬件系统架构图</w:t>
      </w:r>
    </w:p>
    <w:p>
      <w:pPr>
        <w:pStyle w:val="2"/>
        <w:bidi w:val="0"/>
        <w:rPr>
          <w:rFonts w:hint="eastAsia"/>
          <w:lang w:val="en-AU" w:eastAsia="zh-CN"/>
        </w:rPr>
      </w:pPr>
      <w:r>
        <w:rPr>
          <w:rFonts w:hint="eastAsia"/>
          <w:lang w:val="en-AU" w:eastAsia="zh-CN"/>
        </w:rPr>
        <w:t>总体要求</w:t>
      </w:r>
      <w:bookmarkEnd w:id="18"/>
      <w:bookmarkEnd w:id="19"/>
    </w:p>
    <w:p>
      <w:pPr>
        <w:numPr>
          <w:ilvl w:val="0"/>
          <w:numId w:val="9"/>
        </w:numPr>
        <w:bidi w:val="0"/>
      </w:pPr>
      <w:r>
        <w:rPr>
          <w:rFonts w:hint="eastAsia"/>
          <w:lang w:val="en-US" w:eastAsia="zh-CN"/>
        </w:rPr>
        <w:t>系统应采用正版软件产品，所涉及的所有软件授权为永久性授权，软件使用过程中无需缴纳任何费用。</w:t>
      </w:r>
    </w:p>
    <w:p>
      <w:pPr>
        <w:numPr>
          <w:ilvl w:val="0"/>
          <w:numId w:val="9"/>
        </w:numPr>
        <w:bidi w:val="0"/>
      </w:pPr>
      <w:r>
        <w:rPr>
          <w:rFonts w:hint="eastAsia"/>
          <w:lang w:val="en-US" w:eastAsia="zh-CN"/>
        </w:rPr>
        <w:t>系统须具备大容量数据的存储、检索、可扩展性等功能。系统在维护或升级过程中不应影响系统的性能与正常运行。</w:t>
      </w:r>
    </w:p>
    <w:p>
      <w:pPr>
        <w:numPr>
          <w:ilvl w:val="0"/>
          <w:numId w:val="9"/>
        </w:numPr>
        <w:bidi w:val="0"/>
        <w:rPr>
          <w:rFonts w:hint="eastAsia"/>
          <w:lang w:val="en-US" w:eastAsia="zh-CN"/>
        </w:rPr>
      </w:pPr>
      <w:r>
        <w:rPr>
          <w:rFonts w:hint="eastAsia"/>
          <w:lang w:val="en-US" w:eastAsia="zh-CN"/>
        </w:rPr>
        <w:t>系统数据须实现物料最小单元（整箱、整袋）的信息管理功能，通过本地计算机系统扫描或录入物料电子标签信息，将信息上传至管理系统记录并更新库存数据。系统数据能够追踪与共享；系统报表可随时调用、导出和打印。系统数据具有在线备份和故障恢复功能，系统能定期对自身进行诊断并形成报告，能监视整个系统的工作状态。</w:t>
      </w:r>
    </w:p>
    <w:p>
      <w:pPr>
        <w:numPr>
          <w:ilvl w:val="0"/>
          <w:numId w:val="9"/>
        </w:numPr>
        <w:bidi w:val="0"/>
        <w:rPr>
          <w:rFonts w:hint="eastAsia"/>
          <w:lang w:val="en-US" w:eastAsia="zh-CN"/>
        </w:rPr>
      </w:pPr>
      <w:r>
        <w:rPr>
          <w:rFonts w:hint="eastAsia"/>
          <w:lang w:val="en-US" w:eastAsia="zh-CN"/>
        </w:rPr>
        <w:t>系统软件须具备开放性，并能够支持二次应用开发的需求，且具有故障预警、检查和处理功能。</w:t>
      </w:r>
    </w:p>
    <w:p>
      <w:pPr>
        <w:numPr>
          <w:ilvl w:val="0"/>
          <w:numId w:val="9"/>
        </w:numPr>
        <w:bidi w:val="0"/>
        <w:rPr>
          <w:rFonts w:hint="eastAsia"/>
          <w:lang w:val="en-US" w:eastAsia="zh-CN"/>
        </w:rPr>
      </w:pPr>
      <w:r>
        <w:rPr>
          <w:rFonts w:hint="eastAsia"/>
          <w:lang w:val="en-US" w:eastAsia="zh-CN"/>
        </w:rPr>
        <w:t>乙方须提供标准化的软硬件接口，并不得对第三方的二次开发做任何限制。一般业务操作响应时间小于3秒，查询相应时间小于10秒。</w:t>
      </w:r>
    </w:p>
    <w:p>
      <w:pPr>
        <w:numPr>
          <w:ilvl w:val="0"/>
          <w:numId w:val="9"/>
        </w:numPr>
        <w:bidi w:val="0"/>
        <w:rPr>
          <w:rFonts w:hint="eastAsia"/>
          <w:lang w:val="en-US" w:eastAsia="zh-CN"/>
        </w:rPr>
      </w:pPr>
      <w:r>
        <w:rPr>
          <w:rFonts w:hint="eastAsia"/>
          <w:lang w:val="en-US" w:eastAsia="zh-CN"/>
        </w:rPr>
        <w:t>乙方须提供本系统与其他系统的接口方案说明，接口说明须详细、合理、可实现。</w:t>
      </w:r>
    </w:p>
    <w:p>
      <w:pPr>
        <w:pStyle w:val="2"/>
        <w:bidi w:val="0"/>
        <w:rPr>
          <w:rFonts w:hint="eastAsia"/>
          <w:lang w:val="en-US" w:eastAsia="zh-CN"/>
        </w:rPr>
      </w:pPr>
      <w:bookmarkStart w:id="20" w:name="_Toc17337"/>
      <w:bookmarkStart w:id="21" w:name="_Toc7887"/>
      <w:r>
        <w:rPr>
          <w:rFonts w:hint="eastAsia"/>
          <w:lang w:val="en-US" w:eastAsia="zh-CN"/>
        </w:rPr>
        <w:t>仓储管理系统</w:t>
      </w:r>
      <w:bookmarkEnd w:id="20"/>
      <w:bookmarkEnd w:id="21"/>
      <w:r>
        <w:rPr>
          <w:rFonts w:hint="eastAsia"/>
          <w:lang w:val="en-US" w:eastAsia="zh-CN"/>
        </w:rPr>
        <w:t>（WMS）</w:t>
      </w:r>
    </w:p>
    <w:p>
      <w:pPr>
        <w:bidi w:val="0"/>
        <w:rPr>
          <w:rFonts w:hint="eastAsia"/>
        </w:rPr>
      </w:pPr>
      <w:r>
        <w:rPr>
          <w:rFonts w:hint="eastAsia"/>
        </w:rPr>
        <w:t>仓储管理系统由服务器、客户机（如管理终端、操作终端）、系统软件（如数据库）等组成。服务器、客户机、辅助外设和可编程逻辑控制器（PLC）等通过以太网交换机，采用TCP/IP网络协议相联结，构成一套完整的网络体系结构。数据存储在服务器上，同时所有操作都设有日志，并有自动恢复功能。对于网络、数据库中断或断电等故障，在系统恢复后可以自行连接，所有数据自行更新恢复，各设备无需初始化即可恢复故障前的工作状态。</w:t>
      </w:r>
    </w:p>
    <w:p>
      <w:pPr>
        <w:numPr>
          <w:ilvl w:val="0"/>
          <w:numId w:val="10"/>
        </w:numPr>
        <w:bidi w:val="0"/>
        <w:ind w:left="425" w:leftChars="0" w:firstLine="52" w:firstLineChars="22"/>
      </w:pPr>
      <w:r>
        <w:rPr>
          <w:rFonts w:hint="eastAsia"/>
        </w:rPr>
        <w:t>基础软件与开发平台</w:t>
      </w:r>
    </w:p>
    <w:p>
      <w:pPr>
        <w:bidi w:val="0"/>
      </w:pPr>
      <w:r>
        <w:rPr>
          <w:rFonts w:hint="eastAsia"/>
        </w:rPr>
        <w:t>服务器操作系统为简体中文centos7.6或更高版本；指挥中心操作系统为简体中文</w:t>
      </w:r>
      <w:r>
        <w:rPr>
          <w:rFonts w:hint="eastAsia"/>
          <w:lang w:val="en-US" w:eastAsia="zh-CN"/>
        </w:rPr>
        <w:t>linux</w:t>
      </w:r>
      <w:r>
        <w:rPr>
          <w:rFonts w:hint="eastAsia"/>
        </w:rPr>
        <w:t>或更高版本，数据库采用MY SQL5.5</w:t>
      </w:r>
      <w:r>
        <w:rPr>
          <w:rFonts w:hint="eastAsia"/>
          <w:lang w:val="en-US" w:eastAsia="zh-CN"/>
        </w:rPr>
        <w:t>/SqlServer2016</w:t>
      </w:r>
      <w:r>
        <w:rPr>
          <w:rFonts w:hint="eastAsia"/>
        </w:rPr>
        <w:t>或更高版本；管理应用软件采用java</w:t>
      </w:r>
      <w:r>
        <w:rPr>
          <w:rFonts w:hint="eastAsia"/>
          <w:lang w:val="en-US" w:eastAsia="zh-CN"/>
        </w:rPr>
        <w:t>/C#</w:t>
      </w:r>
      <w:r>
        <w:rPr>
          <w:rFonts w:hint="eastAsia"/>
        </w:rPr>
        <w:t>开发，前后端分离架构</w:t>
      </w:r>
      <w:r>
        <w:rPr>
          <w:rFonts w:hint="eastAsia"/>
          <w:lang w:eastAsia="zh-CN"/>
        </w:rPr>
        <w:t>，</w:t>
      </w:r>
      <w:r>
        <w:rPr>
          <w:rFonts w:hint="eastAsia"/>
        </w:rPr>
        <w:t>采用spring boot或spring cloud框架。</w:t>
      </w:r>
    </w:p>
    <w:p>
      <w:pPr>
        <w:numPr>
          <w:ilvl w:val="0"/>
          <w:numId w:val="10"/>
        </w:numPr>
        <w:bidi w:val="0"/>
        <w:ind w:left="425" w:leftChars="0" w:firstLine="52" w:firstLineChars="22"/>
        <w:rPr>
          <w:rFonts w:hint="eastAsia"/>
        </w:rPr>
      </w:pPr>
      <w:r>
        <w:rPr>
          <w:rFonts w:hint="eastAsia"/>
        </w:rPr>
        <w:t>仓储管理系统系统具体功能要求</w:t>
      </w:r>
    </w:p>
    <w:p>
      <w:pPr>
        <w:bidi w:val="0"/>
        <w:rPr>
          <w:rFonts w:hint="eastAsia"/>
        </w:rPr>
      </w:pPr>
      <w:r>
        <w:rPr>
          <w:rFonts w:hint="eastAsia"/>
        </w:rPr>
        <w:t>系统具有物资管理的自动操作功能，具体包括不限于以下功能：物资识别、到货登记、库位分配、入库、出库、存储、搬运、盘点等，并能够将信息数据上传至ERP系统。</w:t>
      </w:r>
    </w:p>
    <w:p>
      <w:pPr>
        <w:bidi w:val="0"/>
      </w:pPr>
      <w:r>
        <w:rPr>
          <w:rFonts w:hint="eastAsia"/>
        </w:rPr>
        <w:t>系统操作模块具有但不限于以下功能模块：基础设置、出入库管理、库区与货位管理、库存管理、台账管理、仓库盘点、设备巡检、设备保养、设备维修、报表统计</w:t>
      </w:r>
      <w:r>
        <w:t>等功能模块。同时与</w:t>
      </w:r>
      <w:r>
        <w:rPr>
          <w:rFonts w:hint="eastAsia"/>
          <w:lang w:eastAsia="zh-CN"/>
        </w:rPr>
        <w:t>甲方</w:t>
      </w:r>
      <w:r>
        <w:t>ERP系统、安全防护系统、检修管理系统、设备实施系统及</w:t>
      </w:r>
      <w:r>
        <w:rPr>
          <w:rFonts w:hint="eastAsia"/>
        </w:rPr>
        <w:t>W</w:t>
      </w:r>
      <w:r>
        <w:t>CS</w:t>
      </w:r>
      <w:r>
        <w:rPr>
          <w:rFonts w:hint="eastAsia"/>
        </w:rPr>
        <w:t>系统</w:t>
      </w:r>
      <w:r>
        <w:t>进行对接集成一体化。具体详细功能描述，见功能清单要求。</w:t>
      </w:r>
    </w:p>
    <w:p>
      <w:pPr>
        <w:bidi w:val="0"/>
      </w:pPr>
      <w:r>
        <w:rPr>
          <w:rFonts w:hint="eastAsia"/>
        </w:rPr>
        <w:t>应急出库管理：系统满足封账期及无计划临时紧急出库等特殊情况下无审批出入库操作，可实现协助事后审批流程所需环节，并支持可上传至国家能源集团物资ERP系统。</w:t>
      </w:r>
    </w:p>
    <w:p>
      <w:pPr>
        <w:bidi w:val="0"/>
        <w:rPr>
          <w:rFonts w:hint="eastAsia"/>
        </w:rPr>
      </w:pPr>
      <w:r>
        <w:rPr>
          <w:rFonts w:hint="eastAsia"/>
        </w:rPr>
        <w:t>实现的功能模块基础设计，具体包括不限于以下内容：</w:t>
      </w:r>
    </w:p>
    <w:tbl>
      <w:tblPr>
        <w:tblStyle w:val="39"/>
        <w:tblW w:w="9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2246"/>
        <w:gridCol w:w="61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44" w:type="dxa"/>
            <w:noWrap w:val="0"/>
            <w:vAlign w:val="top"/>
          </w:tcPr>
          <w:p>
            <w:pPr>
              <w:pStyle w:val="58"/>
              <w:bidi w:val="0"/>
            </w:pPr>
            <w:r>
              <w:rPr>
                <w:rFonts w:hint="eastAsia"/>
              </w:rPr>
              <w:t>模块</w:t>
            </w:r>
          </w:p>
        </w:tc>
        <w:tc>
          <w:tcPr>
            <w:tcW w:w="2246" w:type="dxa"/>
            <w:noWrap w:val="0"/>
            <w:vAlign w:val="top"/>
          </w:tcPr>
          <w:p>
            <w:pPr>
              <w:pStyle w:val="58"/>
              <w:bidi w:val="0"/>
            </w:pPr>
            <w:r>
              <w:rPr>
                <w:rFonts w:hint="eastAsia"/>
              </w:rPr>
              <w:t>功能</w:t>
            </w:r>
          </w:p>
        </w:tc>
        <w:tc>
          <w:tcPr>
            <w:tcW w:w="6197" w:type="dxa"/>
            <w:noWrap w:val="0"/>
            <w:vAlign w:val="top"/>
          </w:tcPr>
          <w:p>
            <w:pPr>
              <w:pStyle w:val="58"/>
              <w:bidi w:val="0"/>
            </w:pPr>
            <w:r>
              <w:rPr>
                <w:rFonts w:hint="eastAsi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644" w:type="dxa"/>
            <w:vMerge w:val="restart"/>
            <w:noWrap w:val="0"/>
            <w:vAlign w:val="top"/>
          </w:tcPr>
          <w:p>
            <w:pPr>
              <w:pStyle w:val="58"/>
              <w:bidi w:val="0"/>
            </w:pPr>
            <w:r>
              <w:rPr>
                <w:rFonts w:hint="eastAsia"/>
              </w:rPr>
              <w:t>基础设置</w:t>
            </w:r>
          </w:p>
        </w:tc>
        <w:tc>
          <w:tcPr>
            <w:tcW w:w="2246" w:type="dxa"/>
            <w:noWrap w:val="0"/>
            <w:vAlign w:val="top"/>
          </w:tcPr>
          <w:p>
            <w:pPr>
              <w:pStyle w:val="58"/>
              <w:bidi w:val="0"/>
            </w:pPr>
            <w:r>
              <w:rPr>
                <w:rFonts w:hint="eastAsia"/>
              </w:rPr>
              <w:t>物料管理</w:t>
            </w:r>
          </w:p>
        </w:tc>
        <w:tc>
          <w:tcPr>
            <w:tcW w:w="6197" w:type="dxa"/>
            <w:noWrap w:val="0"/>
            <w:vAlign w:val="top"/>
          </w:tcPr>
          <w:p>
            <w:pPr>
              <w:pStyle w:val="58"/>
              <w:bidi w:val="0"/>
            </w:pPr>
            <w:r>
              <w:rPr>
                <w:rFonts w:hint="eastAsia"/>
              </w:rPr>
              <w:t>物料主数据是从上层系统同步的，物料属性包括物料编号、计量单位、物料类型等信息；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角色管理</w:t>
            </w:r>
          </w:p>
        </w:tc>
        <w:tc>
          <w:tcPr>
            <w:tcW w:w="6197" w:type="dxa"/>
            <w:noWrap w:val="0"/>
            <w:vAlign w:val="top"/>
          </w:tcPr>
          <w:p>
            <w:pPr>
              <w:pStyle w:val="58"/>
              <w:bidi w:val="0"/>
            </w:pPr>
            <w:r>
              <w:rPr>
                <w:rFonts w:hint="eastAsia"/>
              </w:rPr>
              <w:t>系统中用户的操作权限是通过角色来控制，角色可以理解为具备一定操作权限的用户组。并且完成对权限配置，编辑、删除；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用户管理</w:t>
            </w:r>
          </w:p>
        </w:tc>
        <w:tc>
          <w:tcPr>
            <w:tcW w:w="6197" w:type="dxa"/>
            <w:noWrap w:val="0"/>
            <w:vAlign w:val="top"/>
          </w:tcPr>
          <w:p>
            <w:pPr>
              <w:pStyle w:val="58"/>
              <w:bidi w:val="0"/>
            </w:pPr>
            <w:r>
              <w:rPr>
                <w:rFonts w:hint="eastAsia"/>
              </w:rPr>
              <w:t>系统管理员对整个仓储管理系统系统所涉及到的用户进行维护，查询、添加、修改、删除操作；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系统设置</w:t>
            </w:r>
          </w:p>
        </w:tc>
        <w:tc>
          <w:tcPr>
            <w:tcW w:w="6197" w:type="dxa"/>
            <w:noWrap w:val="0"/>
            <w:vAlign w:val="top"/>
          </w:tcPr>
          <w:p>
            <w:pPr>
              <w:pStyle w:val="58"/>
              <w:bidi w:val="0"/>
            </w:pPr>
            <w:r>
              <w:rPr>
                <w:rFonts w:hint="eastAsia"/>
              </w:rPr>
              <w:t>功能初始设置业务操作的基本业务信息和操作规则，包括设置系统参数等帮助用户把握业务操作规范和运作控制；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权限控制</w:t>
            </w:r>
          </w:p>
        </w:tc>
        <w:tc>
          <w:tcPr>
            <w:tcW w:w="6197" w:type="dxa"/>
            <w:noWrap w:val="0"/>
            <w:vAlign w:val="top"/>
          </w:tcPr>
          <w:p>
            <w:pPr>
              <w:pStyle w:val="58"/>
              <w:bidi w:val="0"/>
            </w:pPr>
            <w:r>
              <w:rPr>
                <w:rFonts w:hint="eastAsia"/>
              </w:rPr>
              <w:t>一般指根据系统设置的安全规则或者安全策略，用户可以访问而且只能访问自己被授权的资源；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操作记录</w:t>
            </w:r>
          </w:p>
        </w:tc>
        <w:tc>
          <w:tcPr>
            <w:tcW w:w="6197" w:type="dxa"/>
            <w:noWrap w:val="0"/>
            <w:vAlign w:val="top"/>
          </w:tcPr>
          <w:p>
            <w:pPr>
              <w:pStyle w:val="58"/>
              <w:bidi w:val="0"/>
            </w:pPr>
            <w:r>
              <w:rPr>
                <w:rFonts w:hint="eastAsia"/>
              </w:rPr>
              <w:t>操作员的操作记录。用于管理员分析操作员对某笔业务的操作过程；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技术日志</w:t>
            </w:r>
          </w:p>
        </w:tc>
        <w:tc>
          <w:tcPr>
            <w:tcW w:w="6197" w:type="dxa"/>
            <w:noWrap w:val="0"/>
            <w:vAlign w:val="top"/>
          </w:tcPr>
          <w:p>
            <w:pPr>
              <w:pStyle w:val="58"/>
              <w:bidi w:val="0"/>
            </w:pPr>
            <w:r>
              <w:rPr>
                <w:rFonts w:hint="eastAsia"/>
              </w:rPr>
              <w:t>程序运行的内部日志。主要用于技术人员分析程序运行情况；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644" w:type="dxa"/>
            <w:vMerge w:val="restart"/>
            <w:noWrap w:val="0"/>
            <w:vAlign w:val="top"/>
          </w:tcPr>
          <w:p>
            <w:pPr>
              <w:pStyle w:val="58"/>
              <w:bidi w:val="0"/>
            </w:pPr>
            <w:r>
              <w:rPr>
                <w:rFonts w:hint="eastAsia"/>
              </w:rPr>
              <w:t>出入库管理</w:t>
            </w:r>
          </w:p>
        </w:tc>
        <w:tc>
          <w:tcPr>
            <w:tcW w:w="2246" w:type="dxa"/>
            <w:noWrap w:val="0"/>
            <w:vAlign w:val="top"/>
          </w:tcPr>
          <w:p>
            <w:pPr>
              <w:pStyle w:val="58"/>
              <w:bidi w:val="0"/>
            </w:pPr>
            <w:r>
              <w:rPr>
                <w:rFonts w:hint="eastAsia"/>
              </w:rPr>
              <w:t>入库审核</w:t>
            </w:r>
          </w:p>
        </w:tc>
        <w:tc>
          <w:tcPr>
            <w:tcW w:w="6197" w:type="dxa"/>
            <w:noWrap w:val="0"/>
            <w:vAlign w:val="top"/>
          </w:tcPr>
          <w:p>
            <w:pPr>
              <w:pStyle w:val="58"/>
              <w:bidi w:val="0"/>
            </w:pPr>
            <w:r>
              <w:rPr>
                <w:rFonts w:hint="eastAsia"/>
              </w:rPr>
              <w:t>根据入库单，进行入库审核操作，阻止违规流程入库；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入库登记</w:t>
            </w:r>
          </w:p>
        </w:tc>
        <w:tc>
          <w:tcPr>
            <w:tcW w:w="6197" w:type="dxa"/>
            <w:noWrap w:val="0"/>
            <w:vAlign w:val="top"/>
          </w:tcPr>
          <w:p>
            <w:pPr>
              <w:pStyle w:val="58"/>
              <w:bidi w:val="0"/>
            </w:pPr>
            <w:r>
              <w:rPr>
                <w:rFonts w:hint="eastAsia"/>
              </w:rPr>
              <w:t>通过自动读取射频识别（RFID）进行入库信息登记；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入库任务</w:t>
            </w:r>
          </w:p>
        </w:tc>
        <w:tc>
          <w:tcPr>
            <w:tcW w:w="6197" w:type="dxa"/>
            <w:noWrap w:val="0"/>
            <w:vAlign w:val="top"/>
          </w:tcPr>
          <w:p>
            <w:pPr>
              <w:pStyle w:val="58"/>
              <w:bidi w:val="0"/>
            </w:pPr>
            <w:r>
              <w:rPr>
                <w:rFonts w:hint="eastAsia"/>
              </w:rPr>
              <w:t>根据物料上架规则，计算最佳路径，增加上架速度；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入库检测</w:t>
            </w:r>
          </w:p>
        </w:tc>
        <w:tc>
          <w:tcPr>
            <w:tcW w:w="6197" w:type="dxa"/>
            <w:noWrap w:val="0"/>
            <w:vAlign w:val="top"/>
          </w:tcPr>
          <w:p>
            <w:pPr>
              <w:pStyle w:val="58"/>
              <w:bidi w:val="0"/>
            </w:pPr>
            <w:r>
              <w:rPr>
                <w:rFonts w:hint="eastAsia"/>
              </w:rPr>
              <w:t>进行入库外型检测，外型不合格无法入库；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入库监控</w:t>
            </w:r>
          </w:p>
        </w:tc>
        <w:tc>
          <w:tcPr>
            <w:tcW w:w="6197" w:type="dxa"/>
            <w:noWrap w:val="0"/>
            <w:vAlign w:val="top"/>
          </w:tcPr>
          <w:p>
            <w:pPr>
              <w:pStyle w:val="58"/>
              <w:bidi w:val="0"/>
            </w:pPr>
            <w:r>
              <w:rPr>
                <w:rFonts w:hint="eastAsia"/>
              </w:rPr>
              <w:t>仓储管理系统触发仓储控制系统（WCS）执行入库操作，监控入库过程；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拒收管理</w:t>
            </w:r>
          </w:p>
        </w:tc>
        <w:tc>
          <w:tcPr>
            <w:tcW w:w="6197" w:type="dxa"/>
            <w:noWrap w:val="0"/>
            <w:vAlign w:val="top"/>
          </w:tcPr>
          <w:p>
            <w:pPr>
              <w:pStyle w:val="58"/>
              <w:bidi w:val="0"/>
            </w:pPr>
            <w:r>
              <w:rPr>
                <w:rFonts w:hint="eastAsia"/>
              </w:rPr>
              <w:t>对于违规入库或者外型不符合入库条件将进行拒收；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上架策略分配</w:t>
            </w:r>
          </w:p>
        </w:tc>
        <w:tc>
          <w:tcPr>
            <w:tcW w:w="6197" w:type="dxa"/>
            <w:noWrap w:val="0"/>
            <w:vAlign w:val="top"/>
          </w:tcPr>
          <w:p>
            <w:pPr>
              <w:pStyle w:val="58"/>
              <w:bidi w:val="0"/>
            </w:pPr>
            <w:r>
              <w:rPr>
                <w:rFonts w:hint="eastAsia"/>
              </w:rPr>
              <w:t>通过“上架策略”分配库位；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存储特殊性分配</w:t>
            </w:r>
          </w:p>
        </w:tc>
        <w:tc>
          <w:tcPr>
            <w:tcW w:w="6197" w:type="dxa"/>
            <w:noWrap w:val="0"/>
            <w:vAlign w:val="top"/>
          </w:tcPr>
          <w:p>
            <w:pPr>
              <w:pStyle w:val="58"/>
              <w:bidi w:val="0"/>
            </w:pPr>
            <w:r>
              <w:rPr>
                <w:rFonts w:hint="eastAsia"/>
              </w:rPr>
              <w:t>根据存储特殊性可指定区域分配库位；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存储规则分配</w:t>
            </w:r>
          </w:p>
        </w:tc>
        <w:tc>
          <w:tcPr>
            <w:tcW w:w="6197" w:type="dxa"/>
            <w:noWrap w:val="0"/>
            <w:vAlign w:val="top"/>
          </w:tcPr>
          <w:p>
            <w:pPr>
              <w:pStyle w:val="58"/>
              <w:bidi w:val="0"/>
            </w:pPr>
            <w:r>
              <w:rPr>
                <w:rFonts w:hint="eastAsia"/>
              </w:rPr>
              <w:t>根据先进先出等存储规则进行库位分配；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出库执行</w:t>
            </w:r>
          </w:p>
        </w:tc>
        <w:tc>
          <w:tcPr>
            <w:tcW w:w="6197" w:type="dxa"/>
            <w:noWrap w:val="0"/>
            <w:vAlign w:val="top"/>
          </w:tcPr>
          <w:p>
            <w:pPr>
              <w:pStyle w:val="58"/>
              <w:bidi w:val="0"/>
            </w:pPr>
            <w:r>
              <w:rPr>
                <w:rFonts w:hint="eastAsia"/>
              </w:rPr>
              <w:t>根据出库单进行出库执行操作；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拣选出库</w:t>
            </w:r>
          </w:p>
        </w:tc>
        <w:tc>
          <w:tcPr>
            <w:tcW w:w="6197" w:type="dxa"/>
            <w:noWrap w:val="0"/>
            <w:vAlign w:val="top"/>
          </w:tcPr>
          <w:p>
            <w:pPr>
              <w:pStyle w:val="58"/>
              <w:bidi w:val="0"/>
            </w:pPr>
            <w:r>
              <w:rPr>
                <w:rFonts w:hint="eastAsia"/>
              </w:rPr>
              <w:t>出库拣选人员根据手持终端+射频识别（RFID）读取进行出库拣选任务；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jc w:val="center"/>
        </w:trPr>
        <w:tc>
          <w:tcPr>
            <w:tcW w:w="644" w:type="dxa"/>
            <w:vMerge w:val="restart"/>
            <w:noWrap w:val="0"/>
            <w:vAlign w:val="top"/>
          </w:tcPr>
          <w:p>
            <w:pPr>
              <w:pStyle w:val="58"/>
              <w:bidi w:val="0"/>
            </w:pPr>
            <w:r>
              <w:rPr>
                <w:rFonts w:hint="eastAsia"/>
              </w:rPr>
              <w:t>库区与货位管理</w:t>
            </w:r>
          </w:p>
        </w:tc>
        <w:tc>
          <w:tcPr>
            <w:tcW w:w="2246" w:type="dxa"/>
            <w:noWrap w:val="0"/>
            <w:vAlign w:val="top"/>
          </w:tcPr>
          <w:p>
            <w:pPr>
              <w:pStyle w:val="58"/>
              <w:bidi w:val="0"/>
            </w:pPr>
            <w:r>
              <w:rPr>
                <w:rFonts w:hint="eastAsia"/>
              </w:rPr>
              <w:t>货架编码管理</w:t>
            </w:r>
          </w:p>
        </w:tc>
        <w:tc>
          <w:tcPr>
            <w:tcW w:w="6197" w:type="dxa"/>
            <w:noWrap w:val="0"/>
            <w:vAlign w:val="top"/>
          </w:tcPr>
          <w:p>
            <w:pPr>
              <w:pStyle w:val="58"/>
              <w:bidi w:val="0"/>
            </w:pPr>
            <w:r>
              <w:rPr>
                <w:rFonts w:hint="eastAsia"/>
              </w:rPr>
              <w:t>对货架进行编码管理；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库区区域划分</w:t>
            </w:r>
          </w:p>
        </w:tc>
        <w:tc>
          <w:tcPr>
            <w:tcW w:w="6197" w:type="dxa"/>
            <w:noWrap w:val="0"/>
            <w:vAlign w:val="top"/>
          </w:tcPr>
          <w:p>
            <w:pPr>
              <w:pStyle w:val="58"/>
              <w:bidi w:val="0"/>
            </w:pPr>
            <w:r>
              <w:rPr>
                <w:rFonts w:hint="eastAsia"/>
              </w:rPr>
              <w:t>根据要求可系统逻辑上进行库区区域划分；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库区禁存、禁出管理</w:t>
            </w:r>
          </w:p>
        </w:tc>
        <w:tc>
          <w:tcPr>
            <w:tcW w:w="6197" w:type="dxa"/>
            <w:noWrap w:val="0"/>
            <w:vAlign w:val="top"/>
          </w:tcPr>
          <w:p>
            <w:pPr>
              <w:pStyle w:val="58"/>
              <w:bidi w:val="0"/>
            </w:pPr>
            <w:r>
              <w:rPr>
                <w:rFonts w:hint="eastAsia"/>
              </w:rPr>
              <w:t>可对指定库区进行禁止存储和出库管理；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调整、增加和减少库位</w:t>
            </w:r>
          </w:p>
        </w:tc>
        <w:tc>
          <w:tcPr>
            <w:tcW w:w="6197" w:type="dxa"/>
            <w:noWrap w:val="0"/>
            <w:vAlign w:val="top"/>
          </w:tcPr>
          <w:p>
            <w:pPr>
              <w:pStyle w:val="58"/>
              <w:bidi w:val="0"/>
            </w:pPr>
            <w:r>
              <w:rPr>
                <w:rFonts w:hint="eastAsia"/>
              </w:rPr>
              <w:t>可调整、增加和减少库位使用；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货位禁存、禁出管理</w:t>
            </w:r>
          </w:p>
        </w:tc>
        <w:tc>
          <w:tcPr>
            <w:tcW w:w="6197" w:type="dxa"/>
            <w:noWrap w:val="0"/>
            <w:vAlign w:val="top"/>
          </w:tcPr>
          <w:p>
            <w:pPr>
              <w:pStyle w:val="58"/>
              <w:bidi w:val="0"/>
            </w:pPr>
            <w:r>
              <w:rPr>
                <w:rFonts w:hint="eastAsia"/>
              </w:rPr>
              <w:t>可对指定库位进行禁止存储和出库管理；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移库操作</w:t>
            </w:r>
          </w:p>
        </w:tc>
        <w:tc>
          <w:tcPr>
            <w:tcW w:w="6197" w:type="dxa"/>
            <w:noWrap w:val="0"/>
            <w:vAlign w:val="top"/>
          </w:tcPr>
          <w:p>
            <w:pPr>
              <w:pStyle w:val="58"/>
              <w:bidi w:val="0"/>
            </w:pPr>
            <w:r>
              <w:rPr>
                <w:rFonts w:hint="eastAsia"/>
              </w:rPr>
              <w:t>根据移库指令进行库位移动操作；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移库查询</w:t>
            </w:r>
          </w:p>
        </w:tc>
        <w:tc>
          <w:tcPr>
            <w:tcW w:w="6197" w:type="dxa"/>
            <w:noWrap w:val="0"/>
            <w:vAlign w:val="top"/>
          </w:tcPr>
          <w:p>
            <w:pPr>
              <w:pStyle w:val="58"/>
              <w:bidi w:val="0"/>
            </w:pPr>
            <w:r>
              <w:rPr>
                <w:rFonts w:hint="eastAsia"/>
              </w:rPr>
              <w:t>查询历史移库信息；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44" w:type="dxa"/>
            <w:vMerge w:val="restart"/>
            <w:noWrap w:val="0"/>
            <w:vAlign w:val="top"/>
          </w:tcPr>
          <w:p>
            <w:pPr>
              <w:pStyle w:val="58"/>
              <w:bidi w:val="0"/>
            </w:pPr>
            <w:r>
              <w:rPr>
                <w:rFonts w:hint="eastAsia"/>
              </w:rPr>
              <w:t>库存管理</w:t>
            </w:r>
          </w:p>
        </w:tc>
        <w:tc>
          <w:tcPr>
            <w:tcW w:w="2246" w:type="dxa"/>
            <w:noWrap w:val="0"/>
            <w:vAlign w:val="top"/>
          </w:tcPr>
          <w:p>
            <w:pPr>
              <w:pStyle w:val="58"/>
              <w:bidi w:val="0"/>
            </w:pPr>
            <w:r>
              <w:rPr>
                <w:rFonts w:hint="eastAsia"/>
              </w:rPr>
              <w:t>查询库存</w:t>
            </w:r>
          </w:p>
        </w:tc>
        <w:tc>
          <w:tcPr>
            <w:tcW w:w="6197" w:type="dxa"/>
            <w:noWrap w:val="0"/>
            <w:vAlign w:val="top"/>
          </w:tcPr>
          <w:p>
            <w:pPr>
              <w:pStyle w:val="58"/>
              <w:bidi w:val="0"/>
            </w:pPr>
            <w:r>
              <w:rPr>
                <w:rFonts w:hint="eastAsia"/>
              </w:rPr>
              <w:t>根据物料、成品信息查询库存信息；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库存属性调整</w:t>
            </w:r>
          </w:p>
        </w:tc>
        <w:tc>
          <w:tcPr>
            <w:tcW w:w="6197" w:type="dxa"/>
            <w:noWrap w:val="0"/>
            <w:vAlign w:val="top"/>
          </w:tcPr>
          <w:p>
            <w:pPr>
              <w:pStyle w:val="58"/>
              <w:bidi w:val="0"/>
            </w:pPr>
            <w:r>
              <w:rPr>
                <w:rFonts w:hint="eastAsia"/>
              </w:rPr>
              <w:t>可调整物料库存属性，便于物料的锁定和释放；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控制库存</w:t>
            </w:r>
          </w:p>
        </w:tc>
        <w:tc>
          <w:tcPr>
            <w:tcW w:w="6197" w:type="dxa"/>
            <w:noWrap w:val="0"/>
            <w:vAlign w:val="top"/>
          </w:tcPr>
          <w:p>
            <w:pPr>
              <w:pStyle w:val="58"/>
              <w:bidi w:val="0"/>
            </w:pPr>
            <w:r>
              <w:rPr>
                <w:rFonts w:hint="eastAsia"/>
              </w:rPr>
              <w:t>对于同一批次出现问题的物料进行批次控制；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设置预警值</w:t>
            </w:r>
          </w:p>
        </w:tc>
        <w:tc>
          <w:tcPr>
            <w:tcW w:w="6197" w:type="dxa"/>
            <w:noWrap w:val="0"/>
            <w:vAlign w:val="top"/>
          </w:tcPr>
          <w:p>
            <w:pPr>
              <w:pStyle w:val="58"/>
              <w:bidi w:val="0"/>
            </w:pPr>
            <w:r>
              <w:rPr>
                <w:rFonts w:hint="eastAsia"/>
              </w:rPr>
              <w:t>设置各类型库存预警值，便于少于预警值，仓储管理系统系统进行预警；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预警管理</w:t>
            </w:r>
          </w:p>
        </w:tc>
        <w:tc>
          <w:tcPr>
            <w:tcW w:w="6197" w:type="dxa"/>
            <w:noWrap w:val="0"/>
            <w:vAlign w:val="top"/>
          </w:tcPr>
          <w:p>
            <w:pPr>
              <w:pStyle w:val="58"/>
              <w:bidi w:val="0"/>
            </w:pPr>
            <w:r>
              <w:rPr>
                <w:rFonts w:hint="eastAsia"/>
              </w:rPr>
              <w:t>每次预警信息进行管理；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644" w:type="dxa"/>
            <w:vMerge w:val="restart"/>
            <w:noWrap w:val="0"/>
            <w:vAlign w:val="top"/>
          </w:tcPr>
          <w:p>
            <w:pPr>
              <w:pStyle w:val="58"/>
              <w:bidi w:val="0"/>
            </w:pPr>
            <w:r>
              <w:rPr>
                <w:rFonts w:hint="eastAsia"/>
              </w:rPr>
              <w:t>台账管理</w:t>
            </w:r>
          </w:p>
        </w:tc>
        <w:tc>
          <w:tcPr>
            <w:tcW w:w="2246" w:type="dxa"/>
            <w:noWrap w:val="0"/>
            <w:vAlign w:val="top"/>
          </w:tcPr>
          <w:p>
            <w:pPr>
              <w:pStyle w:val="58"/>
              <w:bidi w:val="0"/>
            </w:pPr>
            <w:r>
              <w:rPr>
                <w:rFonts w:hint="eastAsia"/>
              </w:rPr>
              <w:t>库存状态管理</w:t>
            </w:r>
          </w:p>
        </w:tc>
        <w:tc>
          <w:tcPr>
            <w:tcW w:w="6197" w:type="dxa"/>
            <w:noWrap w:val="0"/>
            <w:vAlign w:val="top"/>
          </w:tcPr>
          <w:p>
            <w:pPr>
              <w:pStyle w:val="58"/>
              <w:bidi w:val="0"/>
            </w:pPr>
            <w:r>
              <w:rPr>
                <w:rFonts w:hint="eastAsia"/>
              </w:rPr>
              <w:t>设立有效使用库存、借用库存、抽检库存、已被锁定（或限制）库存等；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库存台账查询</w:t>
            </w:r>
          </w:p>
        </w:tc>
        <w:tc>
          <w:tcPr>
            <w:tcW w:w="6197" w:type="dxa"/>
            <w:noWrap w:val="0"/>
            <w:vAlign w:val="top"/>
          </w:tcPr>
          <w:p>
            <w:pPr>
              <w:pStyle w:val="58"/>
              <w:bidi w:val="0"/>
            </w:pPr>
            <w:r>
              <w:rPr>
                <w:rFonts w:hint="eastAsia"/>
              </w:rPr>
              <w:t>通过查询条件查询实时库存台账信息；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644" w:type="dxa"/>
            <w:vMerge w:val="continue"/>
            <w:noWrap w:val="0"/>
            <w:vAlign w:val="top"/>
          </w:tcPr>
          <w:p>
            <w:pPr>
              <w:pStyle w:val="58"/>
              <w:bidi w:val="0"/>
            </w:pPr>
          </w:p>
        </w:tc>
        <w:tc>
          <w:tcPr>
            <w:tcW w:w="2246" w:type="dxa"/>
            <w:noWrap w:val="0"/>
            <w:vAlign w:val="top"/>
          </w:tcPr>
          <w:p>
            <w:pPr>
              <w:pStyle w:val="58"/>
              <w:bidi w:val="0"/>
            </w:pPr>
            <w:r>
              <w:rPr>
                <w:rFonts w:hint="eastAsia"/>
              </w:rPr>
              <w:t>历史台账查询</w:t>
            </w:r>
          </w:p>
        </w:tc>
        <w:tc>
          <w:tcPr>
            <w:tcW w:w="6197" w:type="dxa"/>
            <w:noWrap w:val="0"/>
            <w:vAlign w:val="top"/>
          </w:tcPr>
          <w:p>
            <w:pPr>
              <w:pStyle w:val="58"/>
              <w:bidi w:val="0"/>
            </w:pPr>
            <w:r>
              <w:rPr>
                <w:rFonts w:hint="eastAsia"/>
              </w:rPr>
              <w:t>根据查询条件查询历史库存管理台账信息；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644" w:type="dxa"/>
            <w:vMerge w:val="restart"/>
            <w:noWrap w:val="0"/>
            <w:vAlign w:val="top"/>
          </w:tcPr>
          <w:p>
            <w:pPr>
              <w:pStyle w:val="58"/>
              <w:bidi w:val="0"/>
            </w:pPr>
            <w:r>
              <w:rPr>
                <w:rFonts w:hint="eastAsia"/>
              </w:rPr>
              <w:t>仓库盘点</w:t>
            </w:r>
          </w:p>
        </w:tc>
        <w:tc>
          <w:tcPr>
            <w:tcW w:w="2246" w:type="dxa"/>
            <w:vMerge w:val="restart"/>
            <w:noWrap w:val="0"/>
            <w:vAlign w:val="top"/>
          </w:tcPr>
          <w:p>
            <w:pPr>
              <w:pStyle w:val="58"/>
              <w:bidi w:val="0"/>
            </w:pPr>
            <w:r>
              <w:rPr>
                <w:rFonts w:hint="eastAsia"/>
              </w:rPr>
              <w:t>盘点模式</w:t>
            </w:r>
          </w:p>
        </w:tc>
        <w:tc>
          <w:tcPr>
            <w:tcW w:w="6197" w:type="dxa"/>
            <w:noWrap w:val="0"/>
            <w:vAlign w:val="top"/>
          </w:tcPr>
          <w:p>
            <w:pPr>
              <w:pStyle w:val="58"/>
              <w:bidi w:val="0"/>
            </w:pPr>
            <w:r>
              <w:rPr>
                <w:rFonts w:hint="eastAsia"/>
              </w:rPr>
              <w:t>根据物料、货位、批次、库存状态、入库时间等条件信息进行盘点作业；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44" w:type="dxa"/>
            <w:vMerge w:val="continue"/>
            <w:noWrap w:val="0"/>
            <w:vAlign w:val="top"/>
          </w:tcPr>
          <w:p>
            <w:pPr>
              <w:pStyle w:val="58"/>
              <w:bidi w:val="0"/>
            </w:pPr>
          </w:p>
        </w:tc>
        <w:tc>
          <w:tcPr>
            <w:tcW w:w="2246" w:type="dxa"/>
            <w:vMerge w:val="continue"/>
            <w:noWrap w:val="0"/>
            <w:vAlign w:val="top"/>
          </w:tcPr>
          <w:p>
            <w:pPr>
              <w:pStyle w:val="58"/>
              <w:bidi w:val="0"/>
            </w:pPr>
          </w:p>
        </w:tc>
        <w:tc>
          <w:tcPr>
            <w:tcW w:w="6197" w:type="dxa"/>
            <w:noWrap w:val="0"/>
            <w:vAlign w:val="top"/>
          </w:tcPr>
          <w:p>
            <w:pPr>
              <w:pStyle w:val="58"/>
              <w:bidi w:val="0"/>
            </w:pPr>
            <w:r>
              <w:rPr>
                <w:rFonts w:hint="eastAsia"/>
              </w:rPr>
              <w:t>根据盘点单进行盘点作业；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644" w:type="dxa"/>
            <w:vMerge w:val="continue"/>
            <w:noWrap w:val="0"/>
            <w:vAlign w:val="top"/>
          </w:tcPr>
          <w:p>
            <w:pPr>
              <w:pStyle w:val="58"/>
              <w:bidi w:val="0"/>
            </w:pPr>
          </w:p>
        </w:tc>
        <w:tc>
          <w:tcPr>
            <w:tcW w:w="2246" w:type="dxa"/>
            <w:vMerge w:val="continue"/>
            <w:noWrap w:val="0"/>
            <w:vAlign w:val="top"/>
          </w:tcPr>
          <w:p>
            <w:pPr>
              <w:pStyle w:val="58"/>
              <w:bidi w:val="0"/>
            </w:pPr>
          </w:p>
        </w:tc>
        <w:tc>
          <w:tcPr>
            <w:tcW w:w="6197" w:type="dxa"/>
            <w:noWrap w:val="0"/>
            <w:vAlign w:val="top"/>
          </w:tcPr>
          <w:p>
            <w:pPr>
              <w:pStyle w:val="58"/>
              <w:bidi w:val="0"/>
            </w:pPr>
            <w:r>
              <w:rPr>
                <w:rFonts w:hint="eastAsia"/>
              </w:rPr>
              <w:t>支持通过加装射频识别（RFID）读写器实现无人盘点；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644" w:type="dxa"/>
            <w:vMerge w:val="continue"/>
            <w:noWrap w:val="0"/>
            <w:vAlign w:val="top"/>
          </w:tcPr>
          <w:p>
            <w:pPr>
              <w:pStyle w:val="58"/>
              <w:bidi w:val="0"/>
            </w:pPr>
          </w:p>
        </w:tc>
        <w:tc>
          <w:tcPr>
            <w:tcW w:w="2246" w:type="dxa"/>
            <w:vMerge w:val="restart"/>
            <w:noWrap w:val="0"/>
            <w:vAlign w:val="top"/>
          </w:tcPr>
          <w:p>
            <w:pPr>
              <w:pStyle w:val="58"/>
              <w:bidi w:val="0"/>
            </w:pPr>
            <w:r>
              <w:rPr>
                <w:rFonts w:hint="eastAsia"/>
              </w:rPr>
              <w:t>盘点单管理</w:t>
            </w:r>
          </w:p>
        </w:tc>
        <w:tc>
          <w:tcPr>
            <w:tcW w:w="6197" w:type="dxa"/>
            <w:noWrap w:val="0"/>
            <w:vAlign w:val="top"/>
          </w:tcPr>
          <w:p>
            <w:pPr>
              <w:pStyle w:val="58"/>
              <w:bidi w:val="0"/>
            </w:pPr>
            <w:r>
              <w:rPr>
                <w:rFonts w:hint="eastAsia"/>
              </w:rPr>
              <w:t>对计划中的盘点单进行管理；仓储管理系统根据计划进行盘点准备；仓储管理系统根据进行中盘点单进行货物出库盘点及入库操作；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44" w:type="dxa"/>
            <w:vMerge w:val="continue"/>
            <w:noWrap w:val="0"/>
            <w:vAlign w:val="top"/>
          </w:tcPr>
          <w:p>
            <w:pPr>
              <w:pStyle w:val="58"/>
              <w:bidi w:val="0"/>
            </w:pPr>
          </w:p>
        </w:tc>
        <w:tc>
          <w:tcPr>
            <w:tcW w:w="2246" w:type="dxa"/>
            <w:vMerge w:val="continue"/>
            <w:noWrap w:val="0"/>
            <w:vAlign w:val="top"/>
          </w:tcPr>
          <w:p>
            <w:pPr>
              <w:pStyle w:val="58"/>
              <w:bidi w:val="0"/>
            </w:pPr>
          </w:p>
        </w:tc>
        <w:tc>
          <w:tcPr>
            <w:tcW w:w="6197" w:type="dxa"/>
            <w:noWrap w:val="0"/>
            <w:vAlign w:val="top"/>
          </w:tcPr>
          <w:p>
            <w:pPr>
              <w:pStyle w:val="58"/>
              <w:bidi w:val="0"/>
            </w:pPr>
            <w:r>
              <w:rPr>
                <w:rFonts w:hint="eastAsia"/>
              </w:rPr>
              <w:t>查询历史盘点信息；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644" w:type="dxa"/>
            <w:vMerge w:val="continue"/>
            <w:noWrap w:val="0"/>
            <w:vAlign w:val="top"/>
          </w:tcPr>
          <w:p>
            <w:pPr>
              <w:pStyle w:val="58"/>
              <w:bidi w:val="0"/>
            </w:pPr>
          </w:p>
        </w:tc>
        <w:tc>
          <w:tcPr>
            <w:tcW w:w="2246" w:type="dxa"/>
            <w:vMerge w:val="restart"/>
            <w:noWrap w:val="0"/>
            <w:vAlign w:val="top"/>
          </w:tcPr>
          <w:p>
            <w:pPr>
              <w:pStyle w:val="58"/>
              <w:bidi w:val="0"/>
            </w:pPr>
            <w:r>
              <w:rPr>
                <w:rFonts w:hint="eastAsia"/>
              </w:rPr>
              <w:t>盘点表</w:t>
            </w:r>
          </w:p>
        </w:tc>
        <w:tc>
          <w:tcPr>
            <w:tcW w:w="6197" w:type="dxa"/>
            <w:noWrap w:val="0"/>
            <w:vAlign w:val="top"/>
          </w:tcPr>
          <w:p>
            <w:pPr>
              <w:pStyle w:val="58"/>
              <w:bidi w:val="0"/>
            </w:pPr>
            <w:r>
              <w:rPr>
                <w:rFonts w:hint="eastAsia"/>
              </w:rPr>
              <w:t>统计盘点中实际数量与系统数量不符合的差异表；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44" w:type="dxa"/>
            <w:vMerge w:val="continue"/>
            <w:noWrap w:val="0"/>
            <w:vAlign w:val="top"/>
          </w:tcPr>
          <w:p>
            <w:pPr>
              <w:pStyle w:val="58"/>
              <w:bidi w:val="0"/>
            </w:pPr>
          </w:p>
        </w:tc>
        <w:tc>
          <w:tcPr>
            <w:tcW w:w="2246" w:type="dxa"/>
            <w:vMerge w:val="continue"/>
            <w:noWrap w:val="0"/>
            <w:vAlign w:val="top"/>
          </w:tcPr>
          <w:p>
            <w:pPr>
              <w:pStyle w:val="58"/>
              <w:bidi w:val="0"/>
            </w:pPr>
          </w:p>
        </w:tc>
        <w:tc>
          <w:tcPr>
            <w:tcW w:w="6197" w:type="dxa"/>
            <w:noWrap w:val="0"/>
            <w:vAlign w:val="top"/>
          </w:tcPr>
          <w:p>
            <w:pPr>
              <w:pStyle w:val="58"/>
              <w:bidi w:val="0"/>
            </w:pPr>
            <w:r>
              <w:rPr>
                <w:rFonts w:hint="eastAsia"/>
              </w:rPr>
              <w:t>记录盘点实际数量信息；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644" w:type="dxa"/>
            <w:vMerge w:val="restart"/>
            <w:noWrap/>
            <w:vAlign w:val="top"/>
          </w:tcPr>
          <w:p>
            <w:pPr>
              <w:pStyle w:val="58"/>
              <w:bidi w:val="0"/>
            </w:pPr>
            <w:r>
              <w:rPr>
                <w:rFonts w:hint="eastAsia"/>
              </w:rPr>
              <w:t>设备巡检</w:t>
            </w:r>
          </w:p>
        </w:tc>
        <w:tc>
          <w:tcPr>
            <w:tcW w:w="2246" w:type="dxa"/>
            <w:noWrap/>
            <w:vAlign w:val="top"/>
          </w:tcPr>
          <w:p>
            <w:pPr>
              <w:pStyle w:val="58"/>
              <w:bidi w:val="0"/>
            </w:pPr>
            <w:r>
              <w:rPr>
                <w:rFonts w:hint="eastAsia"/>
              </w:rPr>
              <w:t>巡检计划</w:t>
            </w:r>
          </w:p>
        </w:tc>
        <w:tc>
          <w:tcPr>
            <w:tcW w:w="6197" w:type="dxa"/>
            <w:noWrap w:val="0"/>
            <w:vAlign w:val="top"/>
          </w:tcPr>
          <w:p>
            <w:pPr>
              <w:pStyle w:val="58"/>
              <w:bidi w:val="0"/>
            </w:pPr>
            <w:r>
              <w:rPr>
                <w:rFonts w:hint="eastAsia"/>
              </w:rPr>
              <w:t>创建和管理巡检计划，包括添加、修改、作废等功能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巡检记录</w:t>
            </w:r>
          </w:p>
        </w:tc>
        <w:tc>
          <w:tcPr>
            <w:tcW w:w="6197" w:type="dxa"/>
            <w:noWrap w:val="0"/>
            <w:vAlign w:val="top"/>
          </w:tcPr>
          <w:p>
            <w:pPr>
              <w:pStyle w:val="58"/>
              <w:bidi w:val="0"/>
            </w:pPr>
            <w:r>
              <w:rPr>
                <w:rFonts w:hint="eastAsia"/>
              </w:rPr>
              <w:t>巡检过程登记记录，做为后续检查依据。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巡检标准</w:t>
            </w:r>
          </w:p>
        </w:tc>
        <w:tc>
          <w:tcPr>
            <w:tcW w:w="6197" w:type="dxa"/>
            <w:noWrap w:val="0"/>
            <w:vAlign w:val="top"/>
          </w:tcPr>
          <w:p>
            <w:pPr>
              <w:pStyle w:val="58"/>
              <w:bidi w:val="0"/>
            </w:pPr>
            <w:r>
              <w:rPr>
                <w:rFonts w:hint="eastAsia"/>
              </w:rPr>
              <w:t>巡检标准管理，维护各种巡检标准。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644" w:type="dxa"/>
            <w:vMerge w:val="restart"/>
            <w:noWrap/>
            <w:vAlign w:val="top"/>
          </w:tcPr>
          <w:p>
            <w:pPr>
              <w:pStyle w:val="58"/>
              <w:bidi w:val="0"/>
            </w:pPr>
            <w:r>
              <w:rPr>
                <w:rFonts w:hint="eastAsia"/>
              </w:rPr>
              <w:t>设备保养</w:t>
            </w:r>
          </w:p>
        </w:tc>
        <w:tc>
          <w:tcPr>
            <w:tcW w:w="2246" w:type="dxa"/>
            <w:noWrap/>
            <w:vAlign w:val="top"/>
          </w:tcPr>
          <w:p>
            <w:pPr>
              <w:pStyle w:val="58"/>
              <w:bidi w:val="0"/>
            </w:pPr>
            <w:r>
              <w:rPr>
                <w:rFonts w:hint="eastAsia"/>
              </w:rPr>
              <w:t>保养工单</w:t>
            </w:r>
          </w:p>
        </w:tc>
        <w:tc>
          <w:tcPr>
            <w:tcW w:w="6197" w:type="dxa"/>
            <w:noWrap w:val="0"/>
            <w:vAlign w:val="top"/>
          </w:tcPr>
          <w:p>
            <w:pPr>
              <w:pStyle w:val="58"/>
              <w:bidi w:val="0"/>
            </w:pPr>
            <w:r>
              <w:rPr>
                <w:rFonts w:hint="eastAsia"/>
              </w:rPr>
              <w:t>用来新建保养工单，派单、工单执行验证等功能。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保养计划</w:t>
            </w:r>
          </w:p>
        </w:tc>
        <w:tc>
          <w:tcPr>
            <w:tcW w:w="6197" w:type="dxa"/>
            <w:noWrap w:val="0"/>
            <w:vAlign w:val="top"/>
          </w:tcPr>
          <w:p>
            <w:pPr>
              <w:pStyle w:val="58"/>
              <w:bidi w:val="0"/>
            </w:pPr>
            <w:r>
              <w:rPr>
                <w:rFonts w:hint="eastAsia"/>
              </w:rPr>
              <w:t>创建和维护保养计划，包括添加，修改，作废，计划执行。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保养记录</w:t>
            </w:r>
          </w:p>
        </w:tc>
        <w:tc>
          <w:tcPr>
            <w:tcW w:w="6197" w:type="dxa"/>
            <w:noWrap w:val="0"/>
            <w:vAlign w:val="top"/>
          </w:tcPr>
          <w:p>
            <w:pPr>
              <w:pStyle w:val="58"/>
              <w:bidi w:val="0"/>
            </w:pPr>
            <w:r>
              <w:rPr>
                <w:rFonts w:hint="eastAsia"/>
              </w:rPr>
              <w:t>保养记录查询、维护等功能。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保养经验库</w:t>
            </w:r>
          </w:p>
        </w:tc>
        <w:tc>
          <w:tcPr>
            <w:tcW w:w="6197" w:type="dxa"/>
            <w:noWrap w:val="0"/>
            <w:vAlign w:val="top"/>
          </w:tcPr>
          <w:p>
            <w:pPr>
              <w:pStyle w:val="58"/>
              <w:bidi w:val="0"/>
            </w:pPr>
            <w:r>
              <w:rPr>
                <w:rFonts w:hint="eastAsia"/>
              </w:rPr>
              <w:t>用来维护保养经验，指导后续保养。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644" w:type="dxa"/>
            <w:vMerge w:val="restart"/>
            <w:noWrap/>
            <w:vAlign w:val="top"/>
          </w:tcPr>
          <w:p>
            <w:pPr>
              <w:pStyle w:val="58"/>
              <w:bidi w:val="0"/>
            </w:pPr>
            <w:r>
              <w:rPr>
                <w:rFonts w:hint="eastAsia"/>
              </w:rPr>
              <w:t>设备维修</w:t>
            </w:r>
          </w:p>
        </w:tc>
        <w:tc>
          <w:tcPr>
            <w:tcW w:w="2246" w:type="dxa"/>
            <w:noWrap/>
            <w:vAlign w:val="top"/>
          </w:tcPr>
          <w:p>
            <w:pPr>
              <w:pStyle w:val="58"/>
              <w:bidi w:val="0"/>
            </w:pPr>
            <w:r>
              <w:rPr>
                <w:rFonts w:hint="eastAsia"/>
              </w:rPr>
              <w:t>故障报修</w:t>
            </w:r>
          </w:p>
        </w:tc>
        <w:tc>
          <w:tcPr>
            <w:tcW w:w="6197" w:type="dxa"/>
            <w:noWrap w:val="0"/>
            <w:vAlign w:val="top"/>
          </w:tcPr>
          <w:p>
            <w:pPr>
              <w:pStyle w:val="58"/>
              <w:bidi w:val="0"/>
            </w:pPr>
            <w:r>
              <w:rPr>
                <w:rFonts w:hint="eastAsia"/>
              </w:rPr>
              <w:t>通过手持机或电脑对故障设备进行报修，包括图片，文字，视频资料的报修信息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维修工单</w:t>
            </w:r>
          </w:p>
        </w:tc>
        <w:tc>
          <w:tcPr>
            <w:tcW w:w="6197" w:type="dxa"/>
            <w:noWrap w:val="0"/>
            <w:vAlign w:val="top"/>
          </w:tcPr>
          <w:p>
            <w:pPr>
              <w:pStyle w:val="58"/>
              <w:bidi w:val="0"/>
            </w:pPr>
            <w:r>
              <w:rPr>
                <w:rFonts w:hint="eastAsia"/>
              </w:rPr>
              <w:t>用来新建维修工单，派单、工单执行验证等功能。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维修计划</w:t>
            </w:r>
          </w:p>
        </w:tc>
        <w:tc>
          <w:tcPr>
            <w:tcW w:w="6197" w:type="dxa"/>
            <w:noWrap w:val="0"/>
            <w:vAlign w:val="top"/>
          </w:tcPr>
          <w:p>
            <w:pPr>
              <w:pStyle w:val="58"/>
              <w:bidi w:val="0"/>
            </w:pPr>
            <w:r>
              <w:rPr>
                <w:rFonts w:hint="eastAsia"/>
              </w:rPr>
              <w:t>创建和维护维修计划，包括添加，修改，作废，计划执行。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维修年计划</w:t>
            </w:r>
          </w:p>
        </w:tc>
        <w:tc>
          <w:tcPr>
            <w:tcW w:w="6197" w:type="dxa"/>
            <w:noWrap w:val="0"/>
            <w:vAlign w:val="top"/>
          </w:tcPr>
          <w:p>
            <w:pPr>
              <w:pStyle w:val="58"/>
              <w:bidi w:val="0"/>
            </w:pPr>
            <w:r>
              <w:rPr>
                <w:rFonts w:hint="eastAsia"/>
              </w:rPr>
              <w:t>创建和维护维修年度计划，包括添加，修改，作废，计划执行。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维修记录</w:t>
            </w:r>
          </w:p>
        </w:tc>
        <w:tc>
          <w:tcPr>
            <w:tcW w:w="6197" w:type="dxa"/>
            <w:noWrap w:val="0"/>
            <w:vAlign w:val="top"/>
          </w:tcPr>
          <w:p>
            <w:pPr>
              <w:pStyle w:val="58"/>
              <w:bidi w:val="0"/>
            </w:pPr>
            <w:r>
              <w:rPr>
                <w:rFonts w:hint="eastAsia"/>
              </w:rPr>
              <w:t>维修记录查询、维护等功能。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维修经验库</w:t>
            </w:r>
          </w:p>
        </w:tc>
        <w:tc>
          <w:tcPr>
            <w:tcW w:w="6197" w:type="dxa"/>
            <w:noWrap w:val="0"/>
            <w:vAlign w:val="top"/>
          </w:tcPr>
          <w:p>
            <w:pPr>
              <w:pStyle w:val="58"/>
              <w:bidi w:val="0"/>
            </w:pPr>
            <w:r>
              <w:rPr>
                <w:rFonts w:hint="eastAsia"/>
              </w:rPr>
              <w:t>用来维护维修经验，指导后续保养。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restart"/>
            <w:noWrap w:val="0"/>
            <w:vAlign w:val="top"/>
          </w:tcPr>
          <w:p>
            <w:pPr>
              <w:pStyle w:val="58"/>
              <w:bidi w:val="0"/>
            </w:pPr>
            <w:r>
              <w:rPr>
                <w:rFonts w:hint="eastAsia"/>
              </w:rPr>
              <w:t>报表统计</w:t>
            </w:r>
          </w:p>
        </w:tc>
        <w:tc>
          <w:tcPr>
            <w:tcW w:w="2246" w:type="dxa"/>
            <w:noWrap/>
            <w:vAlign w:val="top"/>
          </w:tcPr>
          <w:p>
            <w:pPr>
              <w:pStyle w:val="58"/>
              <w:bidi w:val="0"/>
            </w:pPr>
            <w:r>
              <w:rPr>
                <w:rFonts w:hint="eastAsia"/>
              </w:rPr>
              <w:t>实时库存</w:t>
            </w:r>
          </w:p>
        </w:tc>
        <w:tc>
          <w:tcPr>
            <w:tcW w:w="6197" w:type="dxa"/>
            <w:noWrap w:val="0"/>
            <w:vAlign w:val="top"/>
          </w:tcPr>
          <w:p>
            <w:pPr>
              <w:pStyle w:val="58"/>
              <w:bidi w:val="0"/>
            </w:pPr>
            <w:r>
              <w:rPr>
                <w:rFonts w:hint="eastAsia"/>
              </w:rPr>
              <w:t>统计仓库实时库存信息；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期间汇总</w:t>
            </w:r>
          </w:p>
        </w:tc>
        <w:tc>
          <w:tcPr>
            <w:tcW w:w="6197" w:type="dxa"/>
            <w:noWrap w:val="0"/>
            <w:vAlign w:val="top"/>
          </w:tcPr>
          <w:p>
            <w:pPr>
              <w:pStyle w:val="58"/>
              <w:bidi w:val="0"/>
            </w:pPr>
            <w:r>
              <w:rPr>
                <w:rFonts w:hint="eastAsia"/>
              </w:rPr>
              <w:t>统计仓库期间库存信息；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报表盘点</w:t>
            </w:r>
          </w:p>
        </w:tc>
        <w:tc>
          <w:tcPr>
            <w:tcW w:w="6197" w:type="dxa"/>
            <w:noWrap w:val="0"/>
            <w:vAlign w:val="top"/>
          </w:tcPr>
          <w:p>
            <w:pPr>
              <w:pStyle w:val="58"/>
              <w:bidi w:val="0"/>
            </w:pPr>
            <w:r>
              <w:rPr>
                <w:rFonts w:hint="eastAsia"/>
              </w:rPr>
              <w:t>对盘点报表进行统计；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月度报表</w:t>
            </w:r>
          </w:p>
        </w:tc>
        <w:tc>
          <w:tcPr>
            <w:tcW w:w="6197" w:type="dxa"/>
            <w:noWrap w:val="0"/>
            <w:vAlign w:val="top"/>
          </w:tcPr>
          <w:p>
            <w:pPr>
              <w:pStyle w:val="58"/>
              <w:bidi w:val="0"/>
            </w:pPr>
            <w:r>
              <w:rPr>
                <w:rFonts w:hint="eastAsia"/>
              </w:rPr>
              <w:t>统计仓库月度报表库存及进出库报表信息；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644" w:type="dxa"/>
            <w:vMerge w:val="continue"/>
            <w:noWrap w:val="0"/>
            <w:vAlign w:val="top"/>
          </w:tcPr>
          <w:p>
            <w:pPr>
              <w:pStyle w:val="58"/>
              <w:bidi w:val="0"/>
            </w:pPr>
          </w:p>
        </w:tc>
        <w:tc>
          <w:tcPr>
            <w:tcW w:w="2246" w:type="dxa"/>
            <w:noWrap/>
            <w:vAlign w:val="top"/>
          </w:tcPr>
          <w:p>
            <w:pPr>
              <w:pStyle w:val="58"/>
              <w:bidi w:val="0"/>
            </w:pPr>
            <w:r>
              <w:rPr>
                <w:rFonts w:hint="eastAsia"/>
              </w:rPr>
              <w:t>根据条件查询</w:t>
            </w:r>
          </w:p>
        </w:tc>
        <w:tc>
          <w:tcPr>
            <w:tcW w:w="6197" w:type="dxa"/>
            <w:noWrap w:val="0"/>
            <w:vAlign w:val="top"/>
          </w:tcPr>
          <w:p>
            <w:pPr>
              <w:pStyle w:val="58"/>
              <w:bidi w:val="0"/>
            </w:pPr>
            <w:r>
              <w:rPr>
                <w:rFonts w:hint="eastAsia"/>
              </w:rPr>
              <w:t>根据条件查询仓库实时、历史等报表信息；</w:t>
            </w:r>
          </w:p>
        </w:tc>
      </w:tr>
    </w:tbl>
    <w:p>
      <w:pPr>
        <w:pStyle w:val="2"/>
        <w:bidi w:val="0"/>
        <w:rPr>
          <w:rFonts w:hint="eastAsia"/>
          <w:lang w:val="en-US" w:eastAsia="zh-CN"/>
        </w:rPr>
      </w:pPr>
      <w:bookmarkStart w:id="22" w:name="_Toc719_WPSOffice_Level1"/>
      <w:bookmarkStart w:id="23" w:name="_Toc27106"/>
      <w:bookmarkStart w:id="24" w:name="_Toc11265"/>
      <w:r>
        <w:rPr>
          <w:rFonts w:hint="eastAsia"/>
          <w:lang w:val="en-US" w:eastAsia="zh-CN"/>
        </w:rPr>
        <w:t>看板</w:t>
      </w:r>
    </w:p>
    <w:p>
      <w:pPr>
        <w:rPr>
          <w:rFonts w:hint="eastAsia"/>
          <w:lang w:val="en-US" w:eastAsia="zh-CN"/>
        </w:rPr>
      </w:pPr>
      <w:r>
        <w:rPr>
          <w:rFonts w:hint="eastAsia"/>
          <w:lang w:val="en-US" w:eastAsia="zh-CN"/>
        </w:rPr>
        <w:t>看板主要用于实时显示各巷道出入库任务状态、设备执行状态、任务对应物料信息、当前巷道库存情况展示。</w:t>
      </w:r>
    </w:p>
    <w:p>
      <w:pPr>
        <w:pStyle w:val="2"/>
        <w:rPr>
          <w:rFonts w:hint="eastAsia"/>
          <w:lang w:val="en-US" w:eastAsia="zh-CN"/>
        </w:rPr>
      </w:pPr>
      <w:r>
        <w:rPr>
          <w:rFonts w:hint="eastAsia"/>
          <w:lang w:val="en-US" w:eastAsia="zh-CN"/>
        </w:rPr>
        <w:t>接口</w:t>
      </w:r>
    </w:p>
    <w:p>
      <w:pPr>
        <w:pStyle w:val="4"/>
        <w:bidi w:val="0"/>
        <w:rPr>
          <w:rFonts w:hint="eastAsia"/>
          <w:lang w:val="en-US" w:eastAsia="zh-CN"/>
        </w:rPr>
      </w:pPr>
      <w:r>
        <w:rPr>
          <w:rFonts w:hint="eastAsia"/>
          <w:lang w:val="en-US" w:eastAsia="zh-CN"/>
        </w:rPr>
        <w:t>与WCS接口</w:t>
      </w:r>
    </w:p>
    <w:p>
      <w:pPr>
        <w:rPr>
          <w:rFonts w:hint="eastAsia"/>
          <w:lang w:val="en-US" w:eastAsia="zh-CN"/>
        </w:rPr>
      </w:pPr>
    </w:p>
    <w:p>
      <w:pPr>
        <w:pStyle w:val="4"/>
        <w:bidi w:val="0"/>
        <w:rPr>
          <w:rFonts w:hint="eastAsia"/>
          <w:lang w:val="en-US" w:eastAsia="zh-CN"/>
        </w:rPr>
      </w:pPr>
      <w:r>
        <w:rPr>
          <w:rFonts w:hint="eastAsia"/>
          <w:lang w:val="en-US" w:eastAsia="zh-CN"/>
        </w:rPr>
        <w:t>与ERP接口</w:t>
      </w:r>
    </w:p>
    <w:p>
      <w:pPr>
        <w:rPr>
          <w:rFonts w:hint="eastAsia"/>
          <w:lang w:val="en-US" w:eastAsia="zh-CN"/>
        </w:rPr>
      </w:pPr>
    </w:p>
    <w:p>
      <w:pPr>
        <w:pStyle w:val="4"/>
        <w:bidi w:val="0"/>
        <w:rPr>
          <w:rFonts w:hint="eastAsia"/>
          <w:lang w:val="en-US" w:eastAsia="zh-CN"/>
        </w:rPr>
      </w:pPr>
      <w:r>
        <w:rPr>
          <w:rFonts w:hint="eastAsia"/>
          <w:lang w:val="en-US" w:eastAsia="zh-CN"/>
        </w:rPr>
        <w:t>与AGV调度系统接口</w:t>
      </w:r>
    </w:p>
    <w:p>
      <w:pPr>
        <w:rPr>
          <w:rFonts w:hint="eastAsia"/>
          <w:lang w:val="en-US" w:eastAsia="zh-CN"/>
        </w:rPr>
      </w:pPr>
    </w:p>
    <w:bookmarkEnd w:id="22"/>
    <w:bookmarkEnd w:id="23"/>
    <w:bookmarkEnd w:id="24"/>
    <w:p>
      <w:pPr>
        <w:pStyle w:val="3"/>
        <w:tabs>
          <w:tab w:val="left" w:pos="0"/>
        </w:tabs>
        <w:spacing w:before="156" w:after="156"/>
        <w:ind w:left="432" w:hanging="432"/>
      </w:pPr>
      <w:bookmarkStart w:id="25" w:name="_Toc18724_WPSOffice_Level1"/>
      <w:bookmarkStart w:id="26" w:name="_Toc26555"/>
      <w:bookmarkStart w:id="27" w:name="_Toc21452"/>
      <w:bookmarkStart w:id="28" w:name="_Toc834"/>
      <w:bookmarkStart w:id="29" w:name="_Toc9800"/>
      <w:bookmarkStart w:id="30" w:name="_Toc13170"/>
      <w:bookmarkStart w:id="31" w:name="_Toc17716"/>
      <w:bookmarkStart w:id="32" w:name="_Toc25834_WPSOffice_Level1"/>
      <w:bookmarkStart w:id="33" w:name="_Toc16226"/>
      <w:bookmarkStart w:id="34" w:name="_Toc30673"/>
      <w:r>
        <w:rPr>
          <w:rFonts w:hint="eastAsia"/>
        </w:rPr>
        <w:t>包装运输和储存、安装</w:t>
      </w:r>
      <w:bookmarkEnd w:id="25"/>
      <w:bookmarkEnd w:id="26"/>
    </w:p>
    <w:p>
      <w:pPr>
        <w:numPr>
          <w:ilvl w:val="0"/>
          <w:numId w:val="11"/>
        </w:numPr>
        <w:bidi w:val="0"/>
        <w:ind w:left="0" w:leftChars="0" w:firstLine="480" w:firstLineChars="200"/>
      </w:pPr>
      <w:r>
        <w:rPr>
          <w:rFonts w:hint="eastAsia"/>
        </w:rPr>
        <w:t>乙方负责设备的包装、装箱和运输，并应对设备采取防护措施，以免散失损坏或被盗。如在运输过程中造成的损失和损坏，全部由乙方负责，乙方需将设备运输至甲方指定的地点进行安装；</w:t>
      </w:r>
    </w:p>
    <w:p>
      <w:pPr>
        <w:numPr>
          <w:ilvl w:val="0"/>
          <w:numId w:val="11"/>
        </w:numPr>
        <w:bidi w:val="0"/>
        <w:ind w:left="0" w:leftChars="0" w:firstLine="480" w:firstLineChars="200"/>
      </w:pPr>
      <w:r>
        <w:rPr>
          <w:rFonts w:hint="eastAsia"/>
        </w:rPr>
        <w:t>包装箱上应有明显的包装储运图示标志；</w:t>
      </w:r>
    </w:p>
    <w:p>
      <w:pPr>
        <w:numPr>
          <w:ilvl w:val="0"/>
          <w:numId w:val="11"/>
        </w:numPr>
        <w:bidi w:val="0"/>
        <w:ind w:left="0" w:leftChars="0" w:firstLine="480" w:firstLineChars="200"/>
      </w:pPr>
      <w:r>
        <w:rPr>
          <w:rFonts w:hint="eastAsia"/>
        </w:rPr>
        <w:t>整体产品或分别运输的部件都要适合运输和装载的要求；</w:t>
      </w:r>
    </w:p>
    <w:p>
      <w:pPr>
        <w:numPr>
          <w:ilvl w:val="0"/>
          <w:numId w:val="11"/>
        </w:numPr>
        <w:bidi w:val="0"/>
        <w:ind w:left="0" w:leftChars="0" w:firstLine="480" w:firstLineChars="200"/>
      </w:pPr>
      <w:r>
        <w:rPr>
          <w:rFonts w:hint="eastAsia"/>
        </w:rPr>
        <w:t>随产品提供的技术资料应完整无缺；</w:t>
      </w:r>
    </w:p>
    <w:p>
      <w:pPr>
        <w:numPr>
          <w:ilvl w:val="0"/>
          <w:numId w:val="11"/>
        </w:numPr>
        <w:bidi w:val="0"/>
        <w:ind w:left="0" w:leftChars="0" w:firstLine="480" w:firstLineChars="200"/>
      </w:pPr>
      <w:r>
        <w:rPr>
          <w:rFonts w:hint="eastAsia"/>
        </w:rPr>
        <w:t>设备运输所需车皮计划由乙方向承运部门办理申请；</w:t>
      </w:r>
    </w:p>
    <w:p>
      <w:pPr>
        <w:numPr>
          <w:ilvl w:val="0"/>
          <w:numId w:val="11"/>
        </w:numPr>
        <w:bidi w:val="0"/>
        <w:ind w:left="0" w:leftChars="0" w:firstLine="480" w:firstLineChars="200"/>
      </w:pPr>
      <w:r>
        <w:rPr>
          <w:rFonts w:hint="eastAsia"/>
        </w:rPr>
        <w:t>所有设备的运输费用包含在乙方报价中；</w:t>
      </w:r>
    </w:p>
    <w:p>
      <w:pPr>
        <w:numPr>
          <w:ilvl w:val="0"/>
          <w:numId w:val="11"/>
        </w:numPr>
        <w:bidi w:val="0"/>
        <w:ind w:left="0" w:leftChars="0" w:firstLine="480" w:firstLineChars="200"/>
      </w:pPr>
      <w:r>
        <w:rPr>
          <w:rFonts w:hint="eastAsia"/>
        </w:rPr>
        <w:t>设备到达收货地点后，甲方应及时清点货物件数及外观完整情况：如发现与发货清单不符或损坏时，收货单位有权拒收设备。</w:t>
      </w:r>
    </w:p>
    <w:p>
      <w:pPr>
        <w:numPr>
          <w:ilvl w:val="0"/>
          <w:numId w:val="11"/>
        </w:numPr>
        <w:bidi w:val="0"/>
        <w:ind w:left="0" w:leftChars="0" w:firstLine="480" w:firstLineChars="200"/>
      </w:pPr>
      <w:r>
        <w:rPr>
          <w:rFonts w:hint="eastAsia"/>
        </w:rPr>
        <w:t>设备到厂后卸货和安装所需的设备（如叉车、吊车）等由乙方负责，甲方负责协调卸货及存放地点</w:t>
      </w:r>
      <w:r>
        <w:rPr>
          <w:rFonts w:hint="eastAsia"/>
          <w:lang w:eastAsia="zh-CN"/>
        </w:rPr>
        <w:t>，</w:t>
      </w:r>
      <w:r>
        <w:rPr>
          <w:rFonts w:hint="eastAsia"/>
          <w:lang w:val="en-US" w:eastAsia="zh-CN"/>
        </w:rPr>
        <w:t>同时甲方配合协调与业主的沟通</w:t>
      </w:r>
      <w:r>
        <w:rPr>
          <w:rFonts w:hint="eastAsia"/>
        </w:rPr>
        <w:t>。</w:t>
      </w:r>
      <w:r>
        <w:rPr>
          <w:rFonts w:hint="eastAsia"/>
          <w:lang w:val="en-US" w:eastAsia="zh-CN"/>
        </w:rPr>
        <w:t>存放的设备由乙方自行负责看管。</w:t>
      </w:r>
    </w:p>
    <w:bookmarkEnd w:id="27"/>
    <w:bookmarkEnd w:id="28"/>
    <w:bookmarkEnd w:id="29"/>
    <w:bookmarkEnd w:id="30"/>
    <w:bookmarkEnd w:id="31"/>
    <w:bookmarkEnd w:id="32"/>
    <w:bookmarkEnd w:id="33"/>
    <w:bookmarkEnd w:id="34"/>
    <w:p>
      <w:pPr>
        <w:pStyle w:val="3"/>
        <w:bidi w:val="0"/>
        <w:rPr>
          <w:rFonts w:hint="eastAsia" w:ascii="Times New Roman" w:hAnsi="Times New Roman" w:cs="Times New Roman"/>
          <w:lang w:val="en-US" w:eastAsia="zh-CN"/>
        </w:rPr>
      </w:pPr>
      <w:bookmarkStart w:id="35" w:name="_Toc28720"/>
      <w:bookmarkStart w:id="36" w:name="_Toc27140352"/>
      <w:bookmarkStart w:id="37" w:name="_Toc22691"/>
      <w:bookmarkStart w:id="38" w:name="_Toc17933"/>
      <w:bookmarkStart w:id="39" w:name="_Toc9816"/>
      <w:bookmarkStart w:id="40" w:name="_Toc13285"/>
      <w:bookmarkStart w:id="41" w:name="_Toc4691"/>
      <w:bookmarkStart w:id="42" w:name="_Toc15196"/>
      <w:bookmarkStart w:id="43" w:name="_Toc26523_WPSOffice_Level1"/>
      <w:bookmarkStart w:id="44" w:name="_Toc19121"/>
      <w:bookmarkStart w:id="45" w:name="_Toc31079"/>
      <w:bookmarkStart w:id="46" w:name="_Toc31393"/>
      <w:bookmarkStart w:id="47" w:name="_Toc28708"/>
      <w:r>
        <w:rPr>
          <w:rFonts w:hint="eastAsia"/>
        </w:rPr>
        <w:t>施工计划</w:t>
      </w:r>
      <w:bookmarkEnd w:id="35"/>
      <w:bookmarkEnd w:id="36"/>
      <w:bookmarkEnd w:id="37"/>
    </w:p>
    <w:p>
      <w:pPr>
        <w:bidi w:val="0"/>
      </w:pPr>
      <w:r>
        <w:t>根据合同工期的要求制定详细可行的进度计划，并严格控制各工期</w:t>
      </w:r>
      <w:r>
        <w:rPr>
          <w:rFonts w:hint="eastAsia"/>
          <w:lang w:val="en-US" w:eastAsia="zh-CN"/>
        </w:rPr>
        <w:t>设计、制造</w:t>
      </w:r>
      <w:r>
        <w:t>进度，确保</w:t>
      </w:r>
      <w:r>
        <w:rPr>
          <w:rFonts w:hint="eastAsia"/>
          <w:lang w:val="en-US" w:eastAsia="zh-CN"/>
        </w:rPr>
        <w:t>设备</w:t>
      </w:r>
      <w:r>
        <w:t>按期交付使用。</w:t>
      </w:r>
    </w:p>
    <w:p>
      <w:pPr>
        <w:bidi w:val="0"/>
      </w:pPr>
      <w:r>
        <w:t>项目工期从</w:t>
      </w:r>
      <w:r>
        <w:rPr>
          <w:rFonts w:hint="eastAsia"/>
        </w:rPr>
        <w:t>合同签订后</w:t>
      </w:r>
      <w:r>
        <w:t>收到甲方预付款之日起，</w:t>
      </w:r>
      <w:r>
        <w:rPr>
          <w:rFonts w:hint="eastAsia"/>
          <w:color w:val="auto"/>
          <w:highlight w:val="none"/>
          <w:lang w:val="en-US" w:eastAsia="zh-CN"/>
        </w:rPr>
        <w:t>90天</w:t>
      </w:r>
      <w:r>
        <w:t>后系统安装调试完毕</w:t>
      </w:r>
      <w:r>
        <w:rPr>
          <w:rFonts w:hint="eastAsia"/>
          <w:lang w:val="en-US" w:eastAsia="zh-CN"/>
        </w:rPr>
        <w:t>可</w:t>
      </w:r>
      <w:r>
        <w:t>试运行，具体进场时间以</w:t>
      </w:r>
      <w:r>
        <w:rPr>
          <w:rFonts w:hint="eastAsia"/>
          <w:lang w:val="en-US" w:eastAsia="zh-CN"/>
        </w:rPr>
        <w:t>甲方</w:t>
      </w:r>
      <w:r>
        <w:t>通知为准。</w:t>
      </w:r>
    </w:p>
    <w:bookmarkEnd w:id="38"/>
    <w:bookmarkEnd w:id="39"/>
    <w:bookmarkEnd w:id="40"/>
    <w:bookmarkEnd w:id="41"/>
    <w:bookmarkEnd w:id="42"/>
    <w:bookmarkEnd w:id="43"/>
    <w:bookmarkEnd w:id="44"/>
    <w:bookmarkEnd w:id="45"/>
    <w:bookmarkEnd w:id="46"/>
    <w:bookmarkEnd w:id="47"/>
    <w:p>
      <w:pPr>
        <w:pStyle w:val="3"/>
        <w:bidi w:val="0"/>
        <w:rPr>
          <w:rFonts w:hint="default"/>
          <w:lang w:val="en-US" w:eastAsia="zh-CN"/>
        </w:rPr>
      </w:pPr>
      <w:bookmarkStart w:id="48" w:name="_Toc4880"/>
      <w:bookmarkStart w:id="49" w:name="_Toc16977"/>
      <w:bookmarkStart w:id="50" w:name="_Toc14554"/>
      <w:bookmarkStart w:id="51" w:name="_Toc27702"/>
      <w:bookmarkStart w:id="52" w:name="_Toc475090225"/>
      <w:bookmarkStart w:id="53" w:name="_Toc477853434"/>
      <w:bookmarkStart w:id="54" w:name="_Toc173"/>
      <w:bookmarkStart w:id="55" w:name="_Toc30088"/>
      <w:bookmarkStart w:id="56" w:name="_Toc17696"/>
      <w:bookmarkStart w:id="57" w:name="_Toc1431"/>
      <w:bookmarkStart w:id="58" w:name="_Toc12889_WPSOffice_Level1"/>
      <w:r>
        <w:rPr>
          <w:rFonts w:hint="default"/>
          <w:lang w:val="en-US" w:eastAsia="zh-CN"/>
        </w:rPr>
        <w:t>资料交付</w:t>
      </w:r>
      <w:bookmarkEnd w:id="48"/>
      <w:bookmarkEnd w:id="49"/>
    </w:p>
    <w:p>
      <w:pPr>
        <w:bidi w:val="0"/>
        <w:rPr>
          <w:rFonts w:hint="default"/>
          <w:lang w:val="en-US" w:eastAsia="zh-CN"/>
        </w:rPr>
      </w:pPr>
      <w:r>
        <w:rPr>
          <w:rFonts w:hint="eastAsia"/>
          <w:lang w:val="en-US" w:eastAsia="zh-CN"/>
        </w:rPr>
        <w:t>乙方</w:t>
      </w:r>
      <w:r>
        <w:rPr>
          <w:rFonts w:hint="default"/>
          <w:lang w:val="en-US" w:eastAsia="zh-CN"/>
        </w:rPr>
        <w:t>在供货时须提供文件清单（包含但不仅限于此）：</w:t>
      </w:r>
    </w:p>
    <w:tbl>
      <w:tblPr>
        <w:tblStyle w:val="39"/>
        <w:tblW w:w="86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4738"/>
        <w:gridCol w:w="156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blHeader/>
          <w:jc w:val="center"/>
        </w:trPr>
        <w:tc>
          <w:tcPr>
            <w:tcW w:w="811" w:type="dxa"/>
            <w:noWrap w:val="0"/>
            <w:vAlign w:val="center"/>
          </w:tcPr>
          <w:p>
            <w:pPr>
              <w:pStyle w:val="58"/>
              <w:bidi w:val="0"/>
            </w:pPr>
            <w:r>
              <w:rPr>
                <w:rFonts w:hint="eastAsia"/>
              </w:rPr>
              <w:t>序号</w:t>
            </w:r>
          </w:p>
        </w:tc>
        <w:tc>
          <w:tcPr>
            <w:tcW w:w="4738" w:type="dxa"/>
            <w:noWrap w:val="0"/>
            <w:vAlign w:val="center"/>
          </w:tcPr>
          <w:p>
            <w:pPr>
              <w:pStyle w:val="58"/>
              <w:bidi w:val="0"/>
            </w:pPr>
            <w:r>
              <w:rPr>
                <w:rFonts w:hint="eastAsia"/>
              </w:rPr>
              <w:t>名称</w:t>
            </w:r>
          </w:p>
        </w:tc>
        <w:tc>
          <w:tcPr>
            <w:tcW w:w="1560" w:type="dxa"/>
            <w:noWrap w:val="0"/>
            <w:vAlign w:val="center"/>
          </w:tcPr>
          <w:p>
            <w:pPr>
              <w:pStyle w:val="58"/>
              <w:bidi w:val="0"/>
            </w:pPr>
            <w:r>
              <w:rPr>
                <w:rFonts w:hint="eastAsia"/>
              </w:rPr>
              <w:t>规格</w:t>
            </w:r>
          </w:p>
        </w:tc>
        <w:tc>
          <w:tcPr>
            <w:tcW w:w="1500" w:type="dxa"/>
            <w:noWrap w:val="0"/>
            <w:vAlign w:val="center"/>
          </w:tcPr>
          <w:p>
            <w:pPr>
              <w:pStyle w:val="58"/>
              <w:bidi w:val="0"/>
            </w:pPr>
            <w:r>
              <w:rPr>
                <w:rFonts w:hint="eastAsia"/>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11" w:type="dxa"/>
            <w:noWrap w:val="0"/>
            <w:vAlign w:val="center"/>
          </w:tcPr>
          <w:p>
            <w:pPr>
              <w:pStyle w:val="58"/>
              <w:bidi w:val="0"/>
            </w:pPr>
            <w:r>
              <w:rPr>
                <w:rFonts w:hint="eastAsia"/>
              </w:rPr>
              <w:t>1</w:t>
            </w:r>
          </w:p>
        </w:tc>
        <w:tc>
          <w:tcPr>
            <w:tcW w:w="4738" w:type="dxa"/>
            <w:noWrap w:val="0"/>
            <w:vAlign w:val="center"/>
          </w:tcPr>
          <w:p>
            <w:pPr>
              <w:pStyle w:val="58"/>
              <w:bidi w:val="0"/>
              <w:rPr>
                <w:rFonts w:hint="default" w:eastAsia="仿宋"/>
                <w:lang w:val="en-US" w:eastAsia="zh-CN"/>
              </w:rPr>
            </w:pPr>
            <w:r>
              <w:rPr>
                <w:rFonts w:hint="eastAsia"/>
                <w:lang w:val="en-US" w:eastAsia="zh-CN"/>
              </w:rPr>
              <w:t>系统操作说明书</w:t>
            </w:r>
          </w:p>
        </w:tc>
        <w:tc>
          <w:tcPr>
            <w:tcW w:w="1560" w:type="dxa"/>
            <w:noWrap w:val="0"/>
            <w:vAlign w:val="center"/>
          </w:tcPr>
          <w:p>
            <w:pPr>
              <w:pStyle w:val="58"/>
              <w:bidi w:val="0"/>
            </w:pPr>
            <w:r>
              <w:rPr>
                <w:rFonts w:hint="eastAsia"/>
              </w:rPr>
              <w:t>/</w:t>
            </w:r>
          </w:p>
        </w:tc>
        <w:tc>
          <w:tcPr>
            <w:tcW w:w="1500" w:type="dxa"/>
            <w:noWrap w:val="0"/>
            <w:vAlign w:val="center"/>
          </w:tcPr>
          <w:p>
            <w:pPr>
              <w:pStyle w:val="58"/>
              <w:bidi w:val="0"/>
            </w:pPr>
            <w:r>
              <w:rPr>
                <w:rFonts w:hint="eastAsia"/>
              </w:rPr>
              <w:t>1套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11" w:type="dxa"/>
            <w:noWrap w:val="0"/>
            <w:vAlign w:val="center"/>
          </w:tcPr>
          <w:p>
            <w:pPr>
              <w:pStyle w:val="58"/>
              <w:bidi w:val="0"/>
              <w:rPr>
                <w:rFonts w:hint="eastAsia" w:eastAsia="仿宋"/>
                <w:lang w:eastAsia="zh-CN"/>
              </w:rPr>
            </w:pPr>
            <w:r>
              <w:rPr>
                <w:rFonts w:hint="eastAsia"/>
                <w:lang w:val="en-US" w:eastAsia="zh-CN"/>
              </w:rPr>
              <w:t>2</w:t>
            </w:r>
          </w:p>
        </w:tc>
        <w:tc>
          <w:tcPr>
            <w:tcW w:w="4738" w:type="dxa"/>
            <w:noWrap w:val="0"/>
            <w:vAlign w:val="center"/>
          </w:tcPr>
          <w:p>
            <w:pPr>
              <w:pStyle w:val="58"/>
              <w:bidi w:val="0"/>
            </w:pPr>
            <w:r>
              <w:rPr>
                <w:rFonts w:hint="eastAsia"/>
                <w:lang w:val="en-US" w:eastAsia="zh-CN"/>
              </w:rPr>
              <w:t>硬件</w:t>
            </w:r>
            <w:r>
              <w:rPr>
                <w:rFonts w:hint="eastAsia"/>
              </w:rPr>
              <w:t>产品说明书</w:t>
            </w:r>
          </w:p>
        </w:tc>
        <w:tc>
          <w:tcPr>
            <w:tcW w:w="1560" w:type="dxa"/>
            <w:noWrap w:val="0"/>
            <w:vAlign w:val="center"/>
          </w:tcPr>
          <w:p>
            <w:pPr>
              <w:pStyle w:val="58"/>
              <w:bidi w:val="0"/>
            </w:pPr>
            <w:r>
              <w:rPr>
                <w:rFonts w:hint="eastAsia"/>
              </w:rPr>
              <w:t>/</w:t>
            </w:r>
          </w:p>
        </w:tc>
        <w:tc>
          <w:tcPr>
            <w:tcW w:w="1500" w:type="dxa"/>
            <w:noWrap w:val="0"/>
            <w:vAlign w:val="center"/>
          </w:tcPr>
          <w:p>
            <w:pPr>
              <w:pStyle w:val="58"/>
              <w:bidi w:val="0"/>
            </w:pPr>
            <w:r>
              <w:rPr>
                <w:rFonts w:hint="eastAsia"/>
              </w:rPr>
              <w:t>1套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811" w:type="dxa"/>
            <w:noWrap w:val="0"/>
            <w:vAlign w:val="center"/>
          </w:tcPr>
          <w:p>
            <w:pPr>
              <w:pStyle w:val="58"/>
              <w:bidi w:val="0"/>
              <w:rPr>
                <w:rFonts w:hint="default"/>
                <w:lang w:val="en-US" w:eastAsia="zh-CN"/>
              </w:rPr>
            </w:pPr>
            <w:r>
              <w:rPr>
                <w:rFonts w:hint="eastAsia"/>
                <w:lang w:val="en-US" w:eastAsia="zh-CN"/>
              </w:rPr>
              <w:t>3</w:t>
            </w:r>
          </w:p>
        </w:tc>
        <w:tc>
          <w:tcPr>
            <w:tcW w:w="4738" w:type="dxa"/>
            <w:noWrap w:val="0"/>
            <w:vAlign w:val="center"/>
          </w:tcPr>
          <w:p>
            <w:pPr>
              <w:pStyle w:val="58"/>
              <w:bidi w:val="0"/>
              <w:rPr>
                <w:rFonts w:hint="eastAsia"/>
              </w:rPr>
            </w:pPr>
          </w:p>
        </w:tc>
        <w:tc>
          <w:tcPr>
            <w:tcW w:w="1560" w:type="dxa"/>
            <w:noWrap w:val="0"/>
            <w:vAlign w:val="center"/>
          </w:tcPr>
          <w:p>
            <w:pPr>
              <w:pStyle w:val="58"/>
              <w:bidi w:val="0"/>
              <w:rPr>
                <w:rFonts w:hint="eastAsia"/>
              </w:rPr>
            </w:pPr>
          </w:p>
        </w:tc>
        <w:tc>
          <w:tcPr>
            <w:tcW w:w="1500" w:type="dxa"/>
            <w:noWrap w:val="0"/>
            <w:vAlign w:val="center"/>
          </w:tcPr>
          <w:p>
            <w:pPr>
              <w:pStyle w:val="58"/>
              <w:bidi w:val="0"/>
              <w:rPr>
                <w:rFonts w:hint="eastAsia"/>
              </w:rPr>
            </w:pPr>
          </w:p>
        </w:tc>
      </w:tr>
    </w:tbl>
    <w:p>
      <w:pPr>
        <w:tabs>
          <w:tab w:val="left" w:pos="630"/>
        </w:tabs>
        <w:bidi w:val="0"/>
        <w:outlineLvl w:val="9"/>
        <w:rPr>
          <w:rFonts w:hint="eastAsia"/>
          <w:lang w:val="en-US" w:eastAsia="zh-CN"/>
        </w:rPr>
      </w:pPr>
      <w:r>
        <w:rPr>
          <w:rFonts w:hint="default" w:ascii="Times New Roman" w:hAnsi="Times New Roman" w:cs="Times New Roman"/>
        </w:rPr>
        <w:t>注：</w:t>
      </w:r>
      <w:r>
        <w:rPr>
          <w:rFonts w:hint="default" w:ascii="Times New Roman" w:hAnsi="Times New Roman" w:cs="Times New Roman"/>
          <w:lang w:val="en-US" w:eastAsia="zh-CN"/>
        </w:rPr>
        <w:t>上述文件如为英文资料，须提供原文及翻译后的中文资料。</w:t>
      </w:r>
    </w:p>
    <w:p>
      <w:pPr>
        <w:pStyle w:val="3"/>
        <w:bidi w:val="0"/>
        <w:rPr>
          <w:rFonts w:hint="default"/>
          <w:lang w:val="en-US" w:eastAsia="zh-CN"/>
        </w:rPr>
      </w:pPr>
      <w:bookmarkStart w:id="59" w:name="_Toc5686"/>
      <w:bookmarkStart w:id="60" w:name="_Toc5691"/>
      <w:bookmarkStart w:id="61" w:name="_Toc27355"/>
      <w:bookmarkStart w:id="62" w:name="_Toc1922"/>
      <w:r>
        <w:rPr>
          <w:rFonts w:hint="default"/>
          <w:lang w:val="en-US" w:eastAsia="zh-CN"/>
        </w:rPr>
        <w:t>技术服务和培训</w:t>
      </w:r>
      <w:bookmarkEnd w:id="59"/>
      <w:bookmarkEnd w:id="60"/>
      <w:bookmarkEnd w:id="61"/>
      <w:bookmarkEnd w:id="62"/>
      <w:bookmarkStart w:id="63" w:name="_Toc85098907"/>
    </w:p>
    <w:p>
      <w:pPr>
        <w:pStyle w:val="2"/>
        <w:bidi w:val="0"/>
      </w:pPr>
      <w:bookmarkStart w:id="64" w:name="_Toc28325"/>
      <w:bookmarkStart w:id="65" w:name="_Toc3117"/>
      <w:r>
        <w:rPr>
          <w:rFonts w:hint="eastAsia"/>
          <w:lang w:val="en-US" w:eastAsia="zh-CN"/>
        </w:rPr>
        <w:t>技术服务</w:t>
      </w:r>
      <w:bookmarkEnd w:id="64"/>
      <w:bookmarkEnd w:id="65"/>
    </w:p>
    <w:p>
      <w:pPr>
        <w:numPr>
          <w:ilvl w:val="0"/>
          <w:numId w:val="12"/>
        </w:numPr>
        <w:bidi w:val="0"/>
        <w:ind w:left="425" w:leftChars="0" w:hanging="425" w:firstLineChars="0"/>
        <w:rPr>
          <w:rFonts w:hint="eastAsia"/>
          <w:lang w:val="en-US" w:eastAsia="zh-CN"/>
        </w:rPr>
      </w:pPr>
      <w:r>
        <w:rPr>
          <w:rFonts w:hint="eastAsia"/>
          <w:lang w:val="en-US" w:eastAsia="zh-CN"/>
        </w:rPr>
        <w:t>乙方须提供详细的技术服务方案，包括系统升级、系统维护、人员培训、远程支持、维护内容、维护周期等内容。</w:t>
      </w:r>
    </w:p>
    <w:p>
      <w:pPr>
        <w:numPr>
          <w:ilvl w:val="0"/>
          <w:numId w:val="12"/>
        </w:numPr>
        <w:bidi w:val="0"/>
        <w:ind w:left="425" w:leftChars="0" w:hanging="425" w:firstLineChars="0"/>
        <w:rPr>
          <w:rFonts w:hint="eastAsia"/>
          <w:lang w:val="en-US" w:eastAsia="zh-CN"/>
        </w:rPr>
      </w:pPr>
      <w:r>
        <w:rPr>
          <w:rFonts w:hint="eastAsia"/>
          <w:lang w:val="en-US" w:eastAsia="zh-CN"/>
        </w:rPr>
        <w:t>当甲方有对系统进行扩充或改造系统设备需求时，乙方应积极帮助乙方进行系统设计、规划预算和提供技术支撑。</w:t>
      </w:r>
    </w:p>
    <w:p>
      <w:pPr>
        <w:pStyle w:val="2"/>
        <w:bidi w:val="0"/>
      </w:pPr>
      <w:bookmarkStart w:id="66" w:name="_Toc25879"/>
      <w:bookmarkStart w:id="67" w:name="_Toc31154"/>
      <w:r>
        <w:rPr>
          <w:rFonts w:hint="eastAsia"/>
          <w:lang w:val="en-US" w:eastAsia="zh-CN"/>
        </w:rPr>
        <w:t>服务响应时间</w:t>
      </w:r>
      <w:bookmarkEnd w:id="66"/>
      <w:bookmarkEnd w:id="67"/>
    </w:p>
    <w:p>
      <w:pPr>
        <w:numPr>
          <w:ilvl w:val="0"/>
          <w:numId w:val="13"/>
        </w:numPr>
        <w:bidi w:val="0"/>
        <w:ind w:left="425" w:leftChars="0" w:hanging="425" w:firstLineChars="0"/>
      </w:pPr>
      <w:r>
        <w:rPr>
          <w:rFonts w:hint="eastAsia"/>
          <w:lang w:val="en-US" w:eastAsia="zh-CN"/>
        </w:rPr>
        <w:t>乙方提供的技术支持应为7×24小时服务。响应时间不大于1小时，同一问题三次远程技术支持仍不能解决时，乙方应派专业技术人员至现场解决。</w:t>
      </w:r>
    </w:p>
    <w:p>
      <w:pPr>
        <w:numPr>
          <w:ilvl w:val="0"/>
          <w:numId w:val="13"/>
        </w:numPr>
        <w:bidi w:val="0"/>
        <w:ind w:left="425" w:leftChars="0" w:hanging="425" w:firstLineChars="0"/>
      </w:pPr>
      <w:r>
        <w:rPr>
          <w:rFonts w:hint="eastAsia"/>
          <w:lang w:val="en-US" w:eastAsia="zh-CN"/>
        </w:rPr>
        <w:t>仓储系统出现故障，乙方应在1小时以内响应，48小时内到达现场；一般性故障应在6小时内排除，故障的产品应迅速更换。系统三次发生同一故障，乙方向甲方提供故障说明及解决方案。</w:t>
      </w:r>
    </w:p>
    <w:p>
      <w:pPr>
        <w:pStyle w:val="2"/>
        <w:bidi w:val="0"/>
      </w:pPr>
      <w:bookmarkStart w:id="68" w:name="_Toc20774"/>
      <w:bookmarkStart w:id="69" w:name="_Toc21733"/>
      <w:r>
        <w:rPr>
          <w:rFonts w:hint="eastAsia"/>
          <w:lang w:val="en-US" w:eastAsia="zh-CN"/>
        </w:rPr>
        <w:t>培训</w:t>
      </w:r>
      <w:bookmarkEnd w:id="68"/>
      <w:bookmarkEnd w:id="69"/>
    </w:p>
    <w:p>
      <w:pPr>
        <w:pStyle w:val="4"/>
        <w:bidi w:val="0"/>
      </w:pPr>
      <w:bookmarkStart w:id="70" w:name="_Toc21888"/>
      <w:r>
        <w:rPr>
          <w:rFonts w:hint="eastAsia"/>
          <w:lang w:val="en-US" w:eastAsia="zh-CN"/>
        </w:rPr>
        <w:t>培训要求</w:t>
      </w:r>
      <w:bookmarkEnd w:id="70"/>
    </w:p>
    <w:p>
      <w:pPr>
        <w:bidi w:val="0"/>
      </w:pPr>
      <w:r>
        <w:rPr>
          <w:rFonts w:hint="eastAsia"/>
          <w:lang w:val="en-US" w:eastAsia="zh-CN"/>
        </w:rPr>
        <w:t>乙方须有计划地对甲方相关各类人员，包括工程技术、管理人员、操作工、设备管理及维护人员、电控管理及维护人员进行分级、分阶段技术培训等，技术培训贯穿项目实施全过程（制造、安装、调试、试生产、陪伴生产等），具体实施时间由双方协商确定。</w:t>
      </w:r>
    </w:p>
    <w:p>
      <w:pPr>
        <w:pStyle w:val="4"/>
        <w:bidi w:val="0"/>
        <w:rPr>
          <w:rFonts w:hint="eastAsia"/>
          <w:lang w:val="en-US" w:eastAsia="zh-CN"/>
        </w:rPr>
      </w:pPr>
      <w:bookmarkStart w:id="71" w:name="_Toc18255"/>
      <w:r>
        <w:rPr>
          <w:rFonts w:hint="eastAsia"/>
          <w:lang w:val="en-US" w:eastAsia="zh-CN"/>
        </w:rPr>
        <w:t>培训方式</w:t>
      </w:r>
      <w:bookmarkEnd w:id="71"/>
    </w:p>
    <w:p>
      <w:pPr>
        <w:numPr>
          <w:ilvl w:val="0"/>
          <w:numId w:val="14"/>
        </w:numPr>
        <w:bidi w:val="0"/>
        <w:ind w:left="425" w:leftChars="0" w:firstLine="52" w:firstLineChars="22"/>
      </w:pPr>
      <w:r>
        <w:rPr>
          <w:rFonts w:hint="eastAsia"/>
          <w:lang w:val="en-US" w:eastAsia="zh-CN"/>
        </w:rPr>
        <w:t>现场培训</w:t>
      </w:r>
    </w:p>
    <w:p>
      <w:pPr>
        <w:numPr>
          <w:ilvl w:val="0"/>
          <w:numId w:val="0"/>
        </w:numPr>
        <w:bidi w:val="0"/>
        <w:ind w:left="0" w:leftChars="0" w:firstLine="480" w:firstLineChars="200"/>
      </w:pPr>
      <w:r>
        <w:rPr>
          <w:rFonts w:hint="eastAsia"/>
          <w:lang w:val="en-US" w:eastAsia="zh-CN"/>
        </w:rPr>
        <w:t>在设备安装、调试和试运行的过程中，乙方须对甲方相关人员进行设备的机构、原理、调试、控制、操作、保养、检修、安全规程及软件系统安装运行等知识和技能进行系统培训。</w:t>
      </w:r>
    </w:p>
    <w:p>
      <w:pPr>
        <w:numPr>
          <w:ilvl w:val="0"/>
          <w:numId w:val="14"/>
        </w:numPr>
        <w:bidi w:val="0"/>
        <w:ind w:left="425" w:leftChars="0" w:firstLine="52" w:firstLineChars="22"/>
        <w:rPr>
          <w:rFonts w:hint="eastAsia"/>
          <w:lang w:val="en-US" w:eastAsia="zh-CN"/>
        </w:rPr>
      </w:pPr>
      <w:r>
        <w:rPr>
          <w:rFonts w:hint="eastAsia"/>
          <w:lang w:val="en-US" w:eastAsia="zh-CN"/>
        </w:rPr>
        <w:t>入厂培训</w:t>
      </w:r>
    </w:p>
    <w:p>
      <w:pPr>
        <w:numPr>
          <w:ilvl w:val="0"/>
          <w:numId w:val="0"/>
        </w:numPr>
        <w:bidi w:val="0"/>
        <w:ind w:left="0" w:leftChars="0" w:firstLine="480" w:firstLineChars="200"/>
      </w:pPr>
      <w:r>
        <w:rPr>
          <w:rFonts w:hint="eastAsia"/>
          <w:lang w:val="en-US" w:eastAsia="zh-CN"/>
        </w:rPr>
        <w:t>乙方对甲方的操作人员、维修人员、管理人员等10人须提供入厂培训，培训时间不少于7天。乙方应保证实际操作(上机操作）培训时间不小于总培训时间的三分之一。培训中所提供技术资料应为中文。</w:t>
      </w:r>
    </w:p>
    <w:bookmarkEnd w:id="63"/>
    <w:p>
      <w:pPr>
        <w:pStyle w:val="3"/>
        <w:bidi w:val="0"/>
        <w:rPr>
          <w:rFonts w:hint="default"/>
        </w:rPr>
      </w:pPr>
      <w:bookmarkStart w:id="72" w:name="_Toc11248"/>
      <w:bookmarkStart w:id="73" w:name="_Toc28023"/>
      <w:bookmarkStart w:id="74" w:name="_Toc14208"/>
      <w:bookmarkStart w:id="75" w:name="_Toc19185"/>
      <w:r>
        <w:rPr>
          <w:rFonts w:hint="default"/>
          <w:lang w:val="en-US" w:eastAsia="zh-CN"/>
        </w:rPr>
        <w:t>安装调试、考核验收</w:t>
      </w:r>
      <w:bookmarkEnd w:id="72"/>
      <w:bookmarkEnd w:id="73"/>
      <w:bookmarkEnd w:id="74"/>
      <w:bookmarkEnd w:id="75"/>
    </w:p>
    <w:p>
      <w:pPr>
        <w:pStyle w:val="2"/>
        <w:bidi w:val="0"/>
        <w:rPr>
          <w:rFonts w:hint="eastAsia"/>
          <w:lang w:val="en-US" w:eastAsia="zh-CN"/>
        </w:rPr>
      </w:pPr>
      <w:bookmarkStart w:id="76" w:name="_Toc20754"/>
      <w:bookmarkStart w:id="77" w:name="_Toc26731"/>
      <w:r>
        <w:rPr>
          <w:rFonts w:hint="eastAsia"/>
          <w:lang w:val="en-US" w:eastAsia="zh-CN"/>
        </w:rPr>
        <w:t>设备安装与调试</w:t>
      </w:r>
      <w:bookmarkEnd w:id="76"/>
      <w:bookmarkEnd w:id="77"/>
    </w:p>
    <w:p>
      <w:pPr>
        <w:numPr>
          <w:ilvl w:val="0"/>
          <w:numId w:val="15"/>
        </w:numPr>
        <w:bidi w:val="0"/>
        <w:ind w:left="0" w:leftChars="0" w:firstLine="0" w:firstLineChars="0"/>
      </w:pPr>
      <w:r>
        <w:rPr>
          <w:rFonts w:hint="eastAsia"/>
          <w:lang w:val="en-US" w:eastAsia="zh-CN"/>
        </w:rPr>
        <w:t>设备安装、调试责任及相关安全责任须由乙方承担。</w:t>
      </w:r>
    </w:p>
    <w:p>
      <w:pPr>
        <w:numPr>
          <w:ilvl w:val="0"/>
          <w:numId w:val="15"/>
        </w:numPr>
        <w:bidi w:val="0"/>
        <w:ind w:left="0" w:leftChars="0" w:firstLine="0" w:firstLineChars="0"/>
      </w:pPr>
      <w:r>
        <w:rPr>
          <w:rFonts w:hint="eastAsia"/>
          <w:lang w:val="en-US" w:eastAsia="zh-CN"/>
        </w:rPr>
        <w:t>设备到甲方现场后，乙方负责包装箱的吊装、进场、拆箱和设备二次搬运、设备安装、以及负责设备和系统的调试工作。设备到货至最终验收前由乙方负责管理，其中如丢失、损坏等由乙方负责换新，乙方派出的人员必须在接到甲方书面通知（包括传真或电子邮件）后5日内达到甲方约定的地点。</w:t>
      </w:r>
    </w:p>
    <w:p>
      <w:pPr>
        <w:numPr>
          <w:ilvl w:val="0"/>
          <w:numId w:val="15"/>
        </w:numPr>
        <w:bidi w:val="0"/>
        <w:ind w:left="0" w:leftChars="0" w:firstLine="0" w:firstLineChars="0"/>
      </w:pPr>
      <w:r>
        <w:rPr>
          <w:rFonts w:hint="eastAsia"/>
          <w:lang w:val="en-US" w:eastAsia="zh-CN"/>
        </w:rPr>
        <w:t>设备各项技术性能指标必须达到合同和技术文件规定的要求，设备的安装，调试和验收必须符合国家的有关规定和标准,并完成系统与其他系统的集成与联调。</w:t>
      </w:r>
    </w:p>
    <w:p>
      <w:pPr>
        <w:numPr>
          <w:ilvl w:val="0"/>
          <w:numId w:val="15"/>
        </w:numPr>
        <w:bidi w:val="0"/>
        <w:ind w:left="0" w:leftChars="0" w:firstLine="0" w:firstLineChars="0"/>
      </w:pPr>
      <w:r>
        <w:rPr>
          <w:rFonts w:hint="eastAsia"/>
          <w:lang w:val="en-US" w:eastAsia="zh-CN"/>
        </w:rPr>
        <w:t>在设备的随机文件中需提出设备吊装、安装及调试所必需的外部技术及环境条件要求，乙方应明确提出施工安装安装内容应符合项目进度要求。</w:t>
      </w:r>
    </w:p>
    <w:p>
      <w:pPr>
        <w:numPr>
          <w:ilvl w:val="0"/>
          <w:numId w:val="15"/>
        </w:numPr>
        <w:bidi w:val="0"/>
        <w:ind w:left="0" w:leftChars="0" w:firstLine="0" w:firstLineChars="0"/>
      </w:pPr>
      <w:r>
        <w:rPr>
          <w:rFonts w:hint="eastAsia"/>
          <w:lang w:val="en-US" w:eastAsia="zh-CN"/>
        </w:rPr>
        <w:t>乙方派驻的项目负责人应自安装开始至本项目最终验收交接，始终保证在甲方现场，中途有特殊情况需要换人须经甲方认可。</w:t>
      </w:r>
    </w:p>
    <w:p>
      <w:pPr>
        <w:numPr>
          <w:ilvl w:val="0"/>
          <w:numId w:val="15"/>
        </w:numPr>
        <w:bidi w:val="0"/>
        <w:ind w:left="0" w:leftChars="0" w:firstLine="0" w:firstLineChars="0"/>
      </w:pPr>
      <w:r>
        <w:rPr>
          <w:rFonts w:hint="eastAsia"/>
          <w:lang w:val="en-US" w:eastAsia="zh-CN"/>
        </w:rPr>
        <w:t>设备安装调试其间的施工安装人员由乙方组织；乙方员进入甲方施工安装场地应遵守甲方安全规定，乙方员由于违反甲方安全规定造成的处罚由乙方负责。设备管理部门负责组织乙方员进行入场安全教育，设备使用单位负责乙方现场施工安装过程中的监督和检查。进入场地须将劳保穿戴整齐，包括护目镜、安全帽、工作鞋、工作服等防护用品，打磨、切割、焊接、登高、吊装等人员应具备相应资质并穿戴好相应防护用品，特种作业需申请作业许可并采取有效防护措施，进入现场内的一切行为需征得甲方同意，乙方员由于违反甲方安全规定造成的处罚由乙方全部负责。</w:t>
      </w:r>
    </w:p>
    <w:p>
      <w:pPr>
        <w:numPr>
          <w:ilvl w:val="0"/>
          <w:numId w:val="15"/>
        </w:numPr>
        <w:bidi w:val="0"/>
        <w:ind w:left="0" w:leftChars="0" w:firstLine="0" w:firstLineChars="0"/>
      </w:pPr>
      <w:r>
        <w:rPr>
          <w:rFonts w:hint="eastAsia"/>
          <w:lang w:val="en-US" w:eastAsia="zh-CN"/>
        </w:rPr>
        <w:t>乙方须提供质量、环境、职业健康安全管理体系相关证书且在设备安装、调试阶段要严格执行，并配合甲方进行设备的环境、劳动、安全、职业健康方面的验收。乙方要服从甲方相关体系要求进行的检查，并认真整改不符合项。</w:t>
      </w:r>
    </w:p>
    <w:p>
      <w:pPr>
        <w:pStyle w:val="2"/>
        <w:bidi w:val="0"/>
      </w:pPr>
      <w:bookmarkStart w:id="78" w:name="_Toc9487"/>
      <w:bookmarkStart w:id="79" w:name="_Toc8198"/>
      <w:r>
        <w:rPr>
          <w:rFonts w:hint="eastAsia"/>
          <w:lang w:val="en-US" w:eastAsia="zh-CN"/>
        </w:rPr>
        <w:t>设备验收及包装要求</w:t>
      </w:r>
      <w:bookmarkEnd w:id="78"/>
      <w:bookmarkEnd w:id="79"/>
    </w:p>
    <w:p>
      <w:pPr>
        <w:pStyle w:val="4"/>
        <w:bidi w:val="0"/>
      </w:pPr>
      <w:bookmarkStart w:id="80" w:name="_Toc27038"/>
      <w:r>
        <w:rPr>
          <w:rFonts w:hint="eastAsia"/>
          <w:lang w:val="en-US" w:eastAsia="zh-CN"/>
        </w:rPr>
        <w:t>设备的验收标准及验收程序</w:t>
      </w:r>
      <w:bookmarkEnd w:id="80"/>
    </w:p>
    <w:p>
      <w:pPr>
        <w:numPr>
          <w:ilvl w:val="0"/>
          <w:numId w:val="16"/>
        </w:numPr>
        <w:bidi w:val="0"/>
        <w:ind w:left="425" w:leftChars="0" w:hanging="425" w:firstLineChars="0"/>
      </w:pPr>
      <w:r>
        <w:rPr>
          <w:rFonts w:hint="eastAsia"/>
          <w:lang w:val="en-US" w:eastAsia="zh-CN"/>
        </w:rPr>
        <w:t>验收标准以合同条款、技术协议、澄清协议以及所采纳的国际、国家行业相关的规范、标准为依据验收。</w:t>
      </w:r>
    </w:p>
    <w:p>
      <w:pPr>
        <w:numPr>
          <w:ilvl w:val="0"/>
          <w:numId w:val="16"/>
        </w:numPr>
        <w:bidi w:val="0"/>
        <w:ind w:left="425" w:leftChars="0" w:hanging="425" w:firstLineChars="0"/>
      </w:pPr>
      <w:r>
        <w:rPr>
          <w:rFonts w:hint="eastAsia"/>
          <w:lang w:val="en-US" w:eastAsia="zh-CN"/>
        </w:rPr>
        <w:t>验收工作分为预验收和最终验收，预验收作为验收工作的一部分，不影响最终验收的结论。</w:t>
      </w:r>
    </w:p>
    <w:p>
      <w:pPr>
        <w:numPr>
          <w:ilvl w:val="0"/>
          <w:numId w:val="16"/>
        </w:numPr>
        <w:bidi w:val="0"/>
        <w:ind w:left="425" w:leftChars="0" w:hanging="425" w:firstLineChars="0"/>
      </w:pPr>
      <w:r>
        <w:rPr>
          <w:rFonts w:hint="eastAsia"/>
          <w:lang w:val="en-US" w:eastAsia="zh-CN"/>
        </w:rPr>
        <w:t>在交货前，乙方应对货物的质量、规格、性能和数量等进行详细而全面的检验，并出具一份证明货物符合合同规定的检验合格证书。</w:t>
      </w:r>
    </w:p>
    <w:p>
      <w:pPr>
        <w:numPr>
          <w:ilvl w:val="0"/>
          <w:numId w:val="16"/>
        </w:numPr>
        <w:bidi w:val="0"/>
        <w:ind w:left="425" w:leftChars="0" w:hanging="425" w:firstLineChars="0"/>
      </w:pPr>
      <w:r>
        <w:rPr>
          <w:rFonts w:hint="eastAsia"/>
          <w:lang w:val="en-US" w:eastAsia="zh-CN"/>
        </w:rPr>
        <w:t>所有零部件均应无缺陷,表面无锈蚀,电线、电缆的安装均符合电气的相应标准。</w:t>
      </w:r>
    </w:p>
    <w:p>
      <w:pPr>
        <w:numPr>
          <w:ilvl w:val="0"/>
          <w:numId w:val="16"/>
        </w:numPr>
        <w:bidi w:val="0"/>
        <w:ind w:left="425" w:leftChars="0" w:hanging="425" w:firstLineChars="0"/>
        <w:rPr>
          <w:rFonts w:hint="eastAsia"/>
          <w:lang w:val="en-US" w:eastAsia="zh-CN"/>
        </w:rPr>
      </w:pPr>
      <w:r>
        <w:rPr>
          <w:rFonts w:hint="eastAsia"/>
          <w:lang w:val="en-US" w:eastAsia="zh-CN"/>
        </w:rPr>
        <w:t>最终验收在预验收合格后，根据实际生产情况和乙方双方商定验收时间。</w:t>
      </w:r>
    </w:p>
    <w:p>
      <w:pPr>
        <w:numPr>
          <w:ilvl w:val="0"/>
          <w:numId w:val="16"/>
        </w:numPr>
        <w:bidi w:val="0"/>
        <w:ind w:left="425" w:leftChars="0" w:hanging="425" w:firstLineChars="0"/>
        <w:rPr>
          <w:rFonts w:hint="eastAsia"/>
          <w:lang w:val="en-US" w:eastAsia="zh-CN"/>
        </w:rPr>
      </w:pPr>
      <w:r>
        <w:rPr>
          <w:rFonts w:hint="eastAsia"/>
          <w:lang w:val="en-US" w:eastAsia="zh-CN"/>
        </w:rPr>
        <w:t>原品牌无法满足技术要求或供货时间，乙方应选择同等级品牌替换。</w:t>
      </w:r>
    </w:p>
    <w:p>
      <w:pPr>
        <w:numPr>
          <w:ilvl w:val="0"/>
          <w:numId w:val="16"/>
        </w:numPr>
        <w:bidi w:val="0"/>
        <w:ind w:left="425" w:leftChars="0" w:hanging="425" w:firstLineChars="0"/>
        <w:rPr>
          <w:rFonts w:hint="eastAsia"/>
        </w:rPr>
      </w:pPr>
      <w:r>
        <w:rPr>
          <w:rFonts w:hint="eastAsia"/>
        </w:rPr>
        <w:t>在设备安全装置安装调试到位，招标、投标双方安全负责人员在场的情况下，对设备安全装置的配置、必要的防护装置、安全功能进行逐一的检测，如果达到验收标准</w:t>
      </w:r>
      <w:r>
        <w:rPr>
          <w:rFonts w:hint="eastAsia"/>
          <w:lang w:eastAsia="zh-CN"/>
        </w:rPr>
        <w:t>（</w:t>
      </w:r>
      <w:r>
        <w:rPr>
          <w:rFonts w:hint="eastAsia"/>
          <w:lang w:val="en-US" w:eastAsia="zh-CN"/>
        </w:rPr>
        <w:t>标准如下</w:t>
      </w:r>
      <w:r>
        <w:rPr>
          <w:rFonts w:hint="eastAsia"/>
          <w:lang w:eastAsia="zh-CN"/>
        </w:rPr>
        <w:t>）</w:t>
      </w:r>
      <w:r>
        <w:rPr>
          <w:rFonts w:hint="eastAsia"/>
        </w:rPr>
        <w:t>，双方签字认可验收结果。提供设备危险源（部位）及使用安全要求。</w:t>
      </w:r>
    </w:p>
    <w:p>
      <w:pPr>
        <w:numPr>
          <w:ilvl w:val="0"/>
          <w:numId w:val="16"/>
        </w:numPr>
        <w:bidi w:val="0"/>
        <w:ind w:left="425" w:leftChars="0" w:hanging="425" w:firstLineChars="0"/>
        <w:rPr>
          <w:rFonts w:hint="eastAsia"/>
          <w:lang w:val="en-GB" w:eastAsia="zh-CN"/>
        </w:rPr>
      </w:pPr>
      <w:r>
        <w:rPr>
          <w:rFonts w:hint="eastAsia"/>
          <w:lang w:val="en-GB" w:eastAsia="zh-CN"/>
        </w:rPr>
        <w:t>设备安装调试运转正常，满足技术要求及质量保证后，进行试运行，检验各项性能及精度，达到技术要求提到的各项内容后，无人干预条件下进行72小时连续运转验证，运转期间无故障后方为完成功能验收。</w:t>
      </w:r>
    </w:p>
    <w:p>
      <w:pPr>
        <w:numPr>
          <w:ilvl w:val="0"/>
          <w:numId w:val="16"/>
        </w:numPr>
        <w:bidi w:val="0"/>
        <w:ind w:left="425" w:leftChars="0" w:hanging="425" w:firstLineChars="0"/>
        <w:rPr>
          <w:rFonts w:hint="eastAsia"/>
          <w:lang w:val="en-GB" w:eastAsia="zh-CN"/>
        </w:rPr>
      </w:pPr>
      <w:r>
        <w:rPr>
          <w:rFonts w:hint="eastAsia"/>
          <w:lang w:val="en-GB" w:eastAsia="zh-CN"/>
        </w:rPr>
        <w:t>验收事项按本协议内容列出验收清单并逐项进行验证，全部达到要求方可验收。</w:t>
      </w:r>
    </w:p>
    <w:p>
      <w:pPr>
        <w:numPr>
          <w:ilvl w:val="0"/>
          <w:numId w:val="16"/>
        </w:numPr>
        <w:bidi w:val="0"/>
        <w:ind w:left="425" w:leftChars="0" w:hanging="425" w:firstLineChars="0"/>
        <w:rPr>
          <w:rFonts w:hint="eastAsia"/>
        </w:rPr>
      </w:pPr>
      <w:r>
        <w:rPr>
          <w:rFonts w:hint="eastAsia"/>
          <w:lang w:val="en-GB" w:eastAsia="zh-CN"/>
        </w:rPr>
        <w:t>设备运行后，在不增加费用的情况下，应满足甲方公司提出使设备更加完善的要求。</w:t>
      </w:r>
    </w:p>
    <w:p>
      <w:pPr>
        <w:numPr>
          <w:ilvl w:val="0"/>
          <w:numId w:val="16"/>
        </w:numPr>
        <w:bidi w:val="0"/>
        <w:ind w:left="425" w:leftChars="0" w:hanging="425" w:firstLineChars="0"/>
      </w:pPr>
      <w:r>
        <w:rPr>
          <w:rFonts w:hint="eastAsia"/>
        </w:rPr>
        <w:t>如达不到验收标准，投标方需及时整改，整改合格后双方签字确认。</w:t>
      </w:r>
    </w:p>
    <w:p>
      <w:pPr>
        <w:numPr>
          <w:ilvl w:val="0"/>
          <w:numId w:val="16"/>
        </w:numPr>
        <w:bidi w:val="0"/>
        <w:ind w:left="425" w:leftChars="0" w:hanging="425" w:firstLineChars="0"/>
        <w:rPr>
          <w:rFonts w:hint="eastAsia"/>
        </w:rPr>
      </w:pPr>
      <w:r>
        <w:rPr>
          <w:rFonts w:hint="eastAsia"/>
          <w:lang w:val="en-US" w:eastAsia="zh-CN"/>
        </w:rPr>
        <w:t>设备第一次验收不合格，经投标方整改后，可以在1个月内组织第二次验收。第二次验收不合格，可以在两个月内组织第三次验收。</w:t>
      </w:r>
    </w:p>
    <w:p>
      <w:pPr>
        <w:pStyle w:val="4"/>
        <w:bidi w:val="0"/>
      </w:pPr>
      <w:bookmarkStart w:id="81" w:name="_Toc31309"/>
      <w:r>
        <w:rPr>
          <w:rFonts w:hint="eastAsia"/>
          <w:lang w:val="en-US" w:eastAsia="zh-CN"/>
        </w:rPr>
        <w:t>设备包装要求</w:t>
      </w:r>
      <w:bookmarkEnd w:id="81"/>
    </w:p>
    <w:p>
      <w:pPr>
        <w:numPr>
          <w:ilvl w:val="0"/>
          <w:numId w:val="17"/>
        </w:numPr>
        <w:bidi w:val="0"/>
        <w:ind w:left="0" w:leftChars="0" w:firstLine="0" w:firstLineChars="0"/>
      </w:pPr>
      <w:r>
        <w:rPr>
          <w:rFonts w:hint="eastAsia"/>
          <w:lang w:val="en-US" w:eastAsia="zh-CN"/>
        </w:rPr>
        <w:t>包装与保护：包装箱应用坚固的材料，内衬为海绵等或同类材料，防潮、防震，以及其他不可预见的损坏，适于长途海、陆运输和整体吊装。</w:t>
      </w:r>
    </w:p>
    <w:p>
      <w:pPr>
        <w:numPr>
          <w:ilvl w:val="0"/>
          <w:numId w:val="17"/>
        </w:numPr>
        <w:bidi w:val="0"/>
        <w:ind w:left="0" w:leftChars="0" w:firstLine="0" w:firstLineChars="0"/>
      </w:pPr>
      <w:r>
        <w:rPr>
          <w:rFonts w:hint="eastAsia"/>
          <w:lang w:val="en-US" w:eastAsia="zh-CN"/>
        </w:rPr>
        <w:t>所有备品备件须分别包装并做好清晰可见的标识、以适合长时间储存，并提供相应的存储箱。</w:t>
      </w:r>
    </w:p>
    <w:p>
      <w:pPr>
        <w:numPr>
          <w:ilvl w:val="0"/>
          <w:numId w:val="17"/>
        </w:numPr>
        <w:bidi w:val="0"/>
        <w:ind w:left="0" w:leftChars="0" w:firstLine="0" w:firstLineChars="0"/>
        <w:rPr>
          <w:rFonts w:hint="eastAsia"/>
          <w:lang w:val="en-US" w:eastAsia="zh-CN"/>
        </w:rPr>
      </w:pPr>
      <w:r>
        <w:rPr>
          <w:rFonts w:hint="eastAsia"/>
          <w:lang w:val="en-US" w:eastAsia="zh-CN"/>
        </w:rPr>
        <w:t>在运输中发生因包装原因及意外事故而引起的一切不良后果均由乙方承担全部责任。</w:t>
      </w:r>
    </w:p>
    <w:p>
      <w:pPr>
        <w:pStyle w:val="2"/>
        <w:rPr>
          <w:rFonts w:hint="eastAsia"/>
          <w:lang w:val="en-US" w:eastAsia="zh-CN"/>
        </w:rPr>
      </w:pPr>
      <w:bookmarkStart w:id="82" w:name="_Toc22621"/>
      <w:r>
        <w:rPr>
          <w:rStyle w:val="52"/>
          <w:rFonts w:hint="eastAsia"/>
          <w:b/>
          <w:lang w:val="en-US" w:eastAsia="zh-CN"/>
        </w:rPr>
        <w:t>质量保证与售后</w:t>
      </w:r>
      <w:bookmarkEnd w:id="82"/>
    </w:p>
    <w:p>
      <w:pPr>
        <w:numPr>
          <w:ilvl w:val="0"/>
          <w:numId w:val="18"/>
        </w:numPr>
        <w:bidi w:val="0"/>
        <w:ind w:left="0" w:leftChars="0" w:firstLine="50" w:firstLineChars="21"/>
      </w:pPr>
      <w:r>
        <w:rPr>
          <w:rFonts w:hint="eastAsia"/>
          <w:lang w:val="en-US" w:eastAsia="zh-CN"/>
        </w:rPr>
        <w:t>质保期：质保期以甲方最终验收合格签署相关文件之日算起，质保期为24个月，质保期内投标人维护、维修及巡检等所有工作费用包含在投标总价内。</w:t>
      </w:r>
    </w:p>
    <w:p>
      <w:pPr>
        <w:numPr>
          <w:ilvl w:val="0"/>
          <w:numId w:val="18"/>
        </w:numPr>
        <w:bidi w:val="0"/>
        <w:ind w:left="0" w:leftChars="0" w:firstLine="50" w:firstLineChars="21"/>
      </w:pPr>
      <w:r>
        <w:rPr>
          <w:rFonts w:hint="eastAsia"/>
          <w:lang w:val="en-US" w:eastAsia="zh-CN"/>
        </w:rPr>
        <w:t>所有软件在质保期内，投标人负责软件的升级、维护；当甲方相关系统与本系统接口部分增加或调整时，投标人应免费负责软件修改和功能完善，免费保修期内，因甲方分工流程改变、使用要求改变等原因，投标人应免费负责软件修改及功能完</w:t>
      </w:r>
      <w:r>
        <w:rPr>
          <w:rFonts w:hint="eastAsia"/>
          <w:lang w:val="en-US" w:eastAsia="zh-CN"/>
        </w:rPr>
        <w:tab/>
      </w:r>
      <w:r>
        <w:rPr>
          <w:rFonts w:hint="eastAsia"/>
          <w:lang w:val="en-US" w:eastAsia="zh-CN"/>
        </w:rPr>
        <w:t>善（包含仓储管理系统软件的相关功能模块的增加与修改）。</w:t>
      </w:r>
    </w:p>
    <w:p>
      <w:pPr>
        <w:numPr>
          <w:ilvl w:val="0"/>
          <w:numId w:val="18"/>
        </w:numPr>
        <w:bidi w:val="0"/>
        <w:ind w:left="0" w:leftChars="0" w:firstLine="50" w:firstLineChars="21"/>
        <w:rPr>
          <w:rFonts w:hint="eastAsia"/>
          <w:lang w:val="en-US" w:eastAsia="zh-CN"/>
        </w:rPr>
      </w:pPr>
      <w:r>
        <w:rPr>
          <w:rFonts w:hint="eastAsia"/>
          <w:lang w:val="en-US" w:eastAsia="zh-CN"/>
        </w:rPr>
        <w:t>质保期内，投标人按甲方需求须不定期进行现场巡检服务，及时发现设备运行的故障隐患或缺陷，分析原因并采取必要的措施消除其隐患并提供巡检报告。</w:t>
      </w:r>
    </w:p>
    <w:p>
      <w:pPr>
        <w:numPr>
          <w:ilvl w:val="0"/>
          <w:numId w:val="18"/>
        </w:numPr>
        <w:bidi w:val="0"/>
        <w:ind w:left="0" w:leftChars="0" w:firstLine="50" w:firstLineChars="21"/>
      </w:pPr>
      <w:r>
        <w:rPr>
          <w:rFonts w:hint="eastAsia"/>
          <w:lang w:val="en-US" w:eastAsia="zh-CN"/>
        </w:rPr>
        <w:t>投标人应向甲方提供规范、高效的日常维护方案。包括作业内容、周期、成本、用时等。</w:t>
      </w:r>
    </w:p>
    <w:p>
      <w:pPr>
        <w:numPr>
          <w:ilvl w:val="0"/>
          <w:numId w:val="18"/>
        </w:numPr>
        <w:bidi w:val="0"/>
        <w:ind w:left="0" w:leftChars="0" w:firstLine="50" w:firstLineChars="21"/>
        <w:rPr>
          <w:rFonts w:hint="eastAsia"/>
          <w:lang w:val="en-US" w:eastAsia="zh-CN"/>
        </w:rPr>
      </w:pPr>
      <w:r>
        <w:rPr>
          <w:rFonts w:hint="eastAsia"/>
          <w:lang w:val="en-US" w:eastAsia="zh-CN"/>
        </w:rPr>
        <w:t>质保期结束前，投标人须对系统及设备进行全面的检查、检修并提供报告。</w:t>
      </w:r>
    </w:p>
    <w:p>
      <w:pPr>
        <w:pStyle w:val="3"/>
        <w:tabs>
          <w:tab w:val="left" w:pos="0"/>
        </w:tabs>
        <w:spacing w:before="156" w:after="156"/>
        <w:ind w:left="432" w:hanging="432"/>
      </w:pPr>
      <w:bookmarkStart w:id="83" w:name="_Toc14996"/>
      <w:r>
        <w:rPr>
          <w:rFonts w:hint="eastAsia"/>
        </w:rPr>
        <w:t>保密</w:t>
      </w:r>
      <w:bookmarkEnd w:id="50"/>
      <w:bookmarkEnd w:id="51"/>
      <w:bookmarkEnd w:id="52"/>
      <w:bookmarkEnd w:id="53"/>
      <w:bookmarkEnd w:id="54"/>
      <w:bookmarkEnd w:id="55"/>
      <w:r>
        <w:rPr>
          <w:rFonts w:hint="eastAsia"/>
        </w:rPr>
        <w:t>要求</w:t>
      </w:r>
      <w:bookmarkEnd w:id="56"/>
      <w:bookmarkEnd w:id="57"/>
      <w:bookmarkEnd w:id="58"/>
      <w:bookmarkEnd w:id="83"/>
    </w:p>
    <w:p>
      <w:pPr>
        <w:numPr>
          <w:ilvl w:val="0"/>
          <w:numId w:val="19"/>
        </w:numPr>
        <w:tabs>
          <w:tab w:val="clear" w:pos="420"/>
        </w:tabs>
        <w:bidi w:val="0"/>
        <w:ind w:left="0" w:leftChars="0" w:firstLine="0" w:firstLineChars="0"/>
        <w:rPr>
          <w:rFonts w:hint="eastAsia"/>
        </w:rPr>
      </w:pPr>
      <w:r>
        <w:rPr>
          <w:rFonts w:hint="eastAsia"/>
        </w:rPr>
        <w:t>保密内容（包括技术信息和经营信息）：未经甲方同意，乙方不得对第三方透露设计意图、设计方案、相关数据和资料；如果乙方未按甲方规定要求，造成技术资料泄密，甲方有权追究乙方责任</w:t>
      </w:r>
      <w:r>
        <w:rPr>
          <w:rFonts w:hint="eastAsia"/>
          <w:lang w:eastAsia="zh-CN"/>
        </w:rPr>
        <w:t>；</w:t>
      </w:r>
    </w:p>
    <w:p>
      <w:pPr>
        <w:numPr>
          <w:ilvl w:val="0"/>
          <w:numId w:val="19"/>
        </w:numPr>
        <w:tabs>
          <w:tab w:val="clear" w:pos="420"/>
        </w:tabs>
        <w:bidi w:val="0"/>
        <w:ind w:left="0" w:leftChars="0" w:firstLine="0" w:firstLineChars="0"/>
        <w:rPr>
          <w:rFonts w:hint="eastAsia"/>
          <w:highlight w:val="none"/>
        </w:rPr>
      </w:pPr>
      <w:r>
        <w:rPr>
          <w:rFonts w:hint="eastAsia"/>
          <w:highlight w:val="none"/>
        </w:rPr>
        <w:t>保密内容</w:t>
      </w:r>
      <w:r>
        <w:rPr>
          <w:rFonts w:hint="eastAsia"/>
          <w:highlight w:val="none"/>
          <w:lang w:eastAsia="zh-CN"/>
        </w:rPr>
        <w:t>（</w:t>
      </w:r>
      <w:r>
        <w:rPr>
          <w:rFonts w:hint="eastAsia"/>
          <w:highlight w:val="none"/>
        </w:rPr>
        <w:t>设备设计内容及相关资料</w:t>
      </w:r>
      <w:r>
        <w:rPr>
          <w:rFonts w:hint="eastAsia"/>
          <w:highlight w:val="none"/>
          <w:lang w:eastAsia="zh-CN"/>
        </w:rPr>
        <w:t>）</w:t>
      </w:r>
      <w:r>
        <w:rPr>
          <w:rFonts w:hint="eastAsia"/>
          <w:highlight w:val="none"/>
        </w:rPr>
        <w:t>：未经乙方同意，甲方不得对第三方透露设备的相关设计内容及相关资料</w:t>
      </w:r>
      <w:r>
        <w:rPr>
          <w:rFonts w:hint="eastAsia"/>
          <w:highlight w:val="none"/>
          <w:lang w:eastAsia="zh-CN"/>
        </w:rPr>
        <w:t>，</w:t>
      </w:r>
      <w:r>
        <w:rPr>
          <w:rFonts w:hint="eastAsia"/>
          <w:highlight w:val="none"/>
        </w:rPr>
        <w:t>如甲方造成相关保密内容泄露，乙方有权追究甲方责任</w:t>
      </w:r>
      <w:r>
        <w:rPr>
          <w:rFonts w:hint="eastAsia"/>
          <w:highlight w:val="none"/>
          <w:lang w:eastAsia="zh-CN"/>
        </w:rPr>
        <w:t>；</w:t>
      </w:r>
    </w:p>
    <w:p>
      <w:pPr>
        <w:numPr>
          <w:ilvl w:val="0"/>
          <w:numId w:val="19"/>
        </w:numPr>
        <w:tabs>
          <w:tab w:val="clear" w:pos="420"/>
        </w:tabs>
        <w:bidi w:val="0"/>
        <w:ind w:left="0" w:leftChars="0" w:firstLine="0" w:firstLineChars="0"/>
        <w:rPr>
          <w:rFonts w:hint="eastAsia"/>
        </w:rPr>
      </w:pPr>
      <w:r>
        <w:rPr>
          <w:rFonts w:hint="eastAsia"/>
        </w:rPr>
        <w:t>涉密人员范围：参与方案设计的人员（包括在职和离职人员）。</w:t>
      </w:r>
    </w:p>
    <w:p>
      <w:pPr>
        <w:pStyle w:val="3"/>
        <w:tabs>
          <w:tab w:val="left" w:pos="0"/>
        </w:tabs>
        <w:spacing w:before="156" w:after="156"/>
        <w:ind w:left="432" w:hanging="432"/>
      </w:pPr>
      <w:bookmarkStart w:id="84" w:name="_Toc14074"/>
      <w:bookmarkStart w:id="85" w:name="_Toc6790"/>
      <w:bookmarkStart w:id="86" w:name="_Toc28841"/>
      <w:bookmarkStart w:id="87" w:name="_Toc9481"/>
      <w:r>
        <w:rPr>
          <w:rFonts w:hint="eastAsia"/>
        </w:rPr>
        <w:t>其他</w:t>
      </w:r>
      <w:bookmarkEnd w:id="84"/>
      <w:bookmarkEnd w:id="85"/>
      <w:bookmarkEnd w:id="86"/>
      <w:bookmarkEnd w:id="87"/>
    </w:p>
    <w:p>
      <w:pPr>
        <w:numPr>
          <w:ilvl w:val="0"/>
          <w:numId w:val="20"/>
        </w:numPr>
        <w:tabs>
          <w:tab w:val="clear" w:pos="420"/>
        </w:tabs>
        <w:bidi w:val="0"/>
        <w:ind w:left="0" w:leftChars="0" w:firstLine="0" w:firstLineChars="0"/>
      </w:pPr>
      <w:r>
        <w:rPr>
          <w:rFonts w:hint="eastAsia"/>
        </w:rPr>
        <w:t>本协议作为合同附件，与合同具有同等法律效力并与合同同时生效；</w:t>
      </w:r>
    </w:p>
    <w:p>
      <w:pPr>
        <w:numPr>
          <w:ilvl w:val="0"/>
          <w:numId w:val="20"/>
        </w:numPr>
        <w:tabs>
          <w:tab w:val="clear" w:pos="420"/>
        </w:tabs>
        <w:bidi w:val="0"/>
        <w:ind w:left="0" w:leftChars="0" w:firstLine="0" w:firstLineChars="0"/>
      </w:pPr>
      <w:r>
        <w:rPr>
          <w:rFonts w:hint="eastAsia"/>
        </w:rPr>
        <w:t>其它未尽事宜，双方协商解决；</w:t>
      </w:r>
    </w:p>
    <w:p>
      <w:pPr>
        <w:numPr>
          <w:ilvl w:val="0"/>
          <w:numId w:val="20"/>
        </w:numPr>
        <w:tabs>
          <w:tab w:val="clear" w:pos="420"/>
        </w:tabs>
        <w:bidi w:val="0"/>
        <w:ind w:left="0" w:leftChars="0" w:firstLine="0" w:firstLineChars="0"/>
        <w:rPr>
          <w:rFonts w:hint="eastAsia"/>
        </w:rPr>
      </w:pPr>
      <w:r>
        <w:rPr>
          <w:rFonts w:hint="eastAsia" w:ascii="Times New Roman" w:hAnsi="Times New Roman" w:cs="Times New Roman"/>
        </w:rPr>
        <w:t>本技术协议一式</w:t>
      </w:r>
      <w:r>
        <w:rPr>
          <w:rFonts w:hint="eastAsia" w:ascii="Times New Roman" w:hAnsi="Times New Roman" w:cs="Times New Roman"/>
          <w:lang w:val="en-US" w:eastAsia="zh-CN"/>
        </w:rPr>
        <w:t>四</w:t>
      </w:r>
      <w:r>
        <w:rPr>
          <w:rFonts w:hint="eastAsia" w:ascii="Times New Roman" w:hAnsi="Times New Roman" w:cs="Times New Roman"/>
        </w:rPr>
        <w:t>份，甲方</w:t>
      </w:r>
      <w:r>
        <w:rPr>
          <w:rFonts w:hint="eastAsia" w:ascii="Times New Roman" w:hAnsi="Times New Roman" w:cs="Times New Roman"/>
          <w:lang w:val="en-US" w:eastAsia="zh-CN"/>
        </w:rPr>
        <w:t>两</w:t>
      </w:r>
      <w:r>
        <w:rPr>
          <w:rFonts w:hint="eastAsia" w:ascii="Times New Roman" w:hAnsi="Times New Roman" w:cs="Times New Roman"/>
        </w:rPr>
        <w:t>份，乙方</w:t>
      </w:r>
      <w:r>
        <w:rPr>
          <w:rFonts w:hint="eastAsia" w:ascii="Times New Roman" w:hAnsi="Times New Roman" w:cs="Times New Roman"/>
          <w:lang w:val="en-US" w:eastAsia="zh-CN"/>
        </w:rPr>
        <w:t>两</w:t>
      </w:r>
      <w:r>
        <w:rPr>
          <w:rFonts w:hint="eastAsia" w:ascii="Times New Roman" w:hAnsi="Times New Roman" w:cs="Times New Roman"/>
        </w:rPr>
        <w:t>份，双方代表签字盖章有效。</w:t>
      </w:r>
    </w:p>
    <w:p>
      <w:pPr>
        <w:pStyle w:val="11"/>
        <w:rPr>
          <w:rFonts w:hint="eastAsia"/>
        </w:rPr>
      </w:pPr>
    </w:p>
    <w:tbl>
      <w:tblPr>
        <w:tblStyle w:val="39"/>
        <w:tblW w:w="0" w:type="auto"/>
        <w:jc w:val="center"/>
        <w:tblLayout w:type="fixed"/>
        <w:tblCellMar>
          <w:top w:w="0" w:type="dxa"/>
          <w:left w:w="108" w:type="dxa"/>
          <w:bottom w:w="0" w:type="dxa"/>
          <w:right w:w="108" w:type="dxa"/>
        </w:tblCellMar>
      </w:tblPr>
      <w:tblGrid>
        <w:gridCol w:w="4900"/>
        <w:gridCol w:w="5062"/>
      </w:tblGrid>
      <w:tr>
        <w:tblPrEx>
          <w:tblCellMar>
            <w:top w:w="0" w:type="dxa"/>
            <w:left w:w="108" w:type="dxa"/>
            <w:bottom w:w="0" w:type="dxa"/>
            <w:right w:w="108" w:type="dxa"/>
          </w:tblCellMar>
        </w:tblPrEx>
        <w:trPr>
          <w:jc w:val="center"/>
        </w:trPr>
        <w:tc>
          <w:tcPr>
            <w:tcW w:w="4900" w:type="dxa"/>
            <w:noWrap w:val="0"/>
            <w:vAlign w:val="top"/>
          </w:tcPr>
          <w:p>
            <w:pPr>
              <w:bidi w:val="0"/>
              <w:jc w:val="both"/>
            </w:pPr>
            <w:r>
              <w:rPr>
                <w:rFonts w:hint="eastAsia"/>
              </w:rPr>
              <w:t>甲方（盖章）：</w:t>
            </w:r>
          </w:p>
        </w:tc>
        <w:tc>
          <w:tcPr>
            <w:tcW w:w="5062" w:type="dxa"/>
            <w:noWrap w:val="0"/>
            <w:vAlign w:val="top"/>
          </w:tcPr>
          <w:p>
            <w:pPr>
              <w:bidi w:val="0"/>
              <w:jc w:val="both"/>
            </w:pPr>
            <w:r>
              <w:rPr>
                <w:rFonts w:hint="eastAsia"/>
              </w:rPr>
              <w:t>乙方（盖章）：</w:t>
            </w:r>
          </w:p>
        </w:tc>
      </w:tr>
      <w:tr>
        <w:tblPrEx>
          <w:tblCellMar>
            <w:top w:w="0" w:type="dxa"/>
            <w:left w:w="108" w:type="dxa"/>
            <w:bottom w:w="0" w:type="dxa"/>
            <w:right w:w="108" w:type="dxa"/>
          </w:tblCellMar>
        </w:tblPrEx>
        <w:trPr>
          <w:jc w:val="center"/>
        </w:trPr>
        <w:tc>
          <w:tcPr>
            <w:tcW w:w="4900" w:type="dxa"/>
            <w:noWrap w:val="0"/>
            <w:vAlign w:val="top"/>
          </w:tcPr>
          <w:p>
            <w:pPr>
              <w:bidi w:val="0"/>
              <w:jc w:val="both"/>
            </w:pPr>
            <w:r>
              <w:rPr>
                <w:rFonts w:hint="eastAsia"/>
              </w:rPr>
              <w:t>协议签订人：</w:t>
            </w:r>
          </w:p>
        </w:tc>
        <w:tc>
          <w:tcPr>
            <w:tcW w:w="5062" w:type="dxa"/>
            <w:noWrap w:val="0"/>
            <w:vAlign w:val="top"/>
          </w:tcPr>
          <w:p>
            <w:pPr>
              <w:bidi w:val="0"/>
              <w:jc w:val="both"/>
            </w:pPr>
            <w:r>
              <w:rPr>
                <w:rFonts w:hint="eastAsia"/>
              </w:rPr>
              <w:t>协议签订人：</w:t>
            </w:r>
          </w:p>
        </w:tc>
      </w:tr>
      <w:tr>
        <w:tblPrEx>
          <w:tblCellMar>
            <w:top w:w="0" w:type="dxa"/>
            <w:left w:w="108" w:type="dxa"/>
            <w:bottom w:w="0" w:type="dxa"/>
            <w:right w:w="108" w:type="dxa"/>
          </w:tblCellMar>
        </w:tblPrEx>
        <w:trPr>
          <w:trHeight w:val="483" w:hRule="atLeast"/>
          <w:jc w:val="center"/>
        </w:trPr>
        <w:tc>
          <w:tcPr>
            <w:tcW w:w="4900" w:type="dxa"/>
            <w:noWrap w:val="0"/>
            <w:vAlign w:val="top"/>
          </w:tcPr>
          <w:p>
            <w:pPr>
              <w:bidi w:val="0"/>
              <w:jc w:val="both"/>
            </w:pPr>
          </w:p>
        </w:tc>
        <w:tc>
          <w:tcPr>
            <w:tcW w:w="5062" w:type="dxa"/>
            <w:noWrap w:val="0"/>
            <w:vAlign w:val="top"/>
          </w:tcPr>
          <w:p>
            <w:pPr>
              <w:bidi w:val="0"/>
              <w:jc w:val="both"/>
            </w:pPr>
          </w:p>
        </w:tc>
      </w:tr>
      <w:tr>
        <w:tblPrEx>
          <w:tblCellMar>
            <w:top w:w="0" w:type="dxa"/>
            <w:left w:w="108" w:type="dxa"/>
            <w:bottom w:w="0" w:type="dxa"/>
            <w:right w:w="108" w:type="dxa"/>
          </w:tblCellMar>
        </w:tblPrEx>
        <w:trPr>
          <w:jc w:val="center"/>
        </w:trPr>
        <w:tc>
          <w:tcPr>
            <w:tcW w:w="4900" w:type="dxa"/>
            <w:noWrap w:val="0"/>
            <w:vAlign w:val="top"/>
          </w:tcPr>
          <w:p>
            <w:pPr>
              <w:bidi w:val="0"/>
              <w:jc w:val="left"/>
            </w:pPr>
            <w:r>
              <w:rPr>
                <w:rFonts w:hint="eastAsia"/>
              </w:rPr>
              <w:t>日    期：      年   月   日</w:t>
            </w:r>
          </w:p>
        </w:tc>
        <w:tc>
          <w:tcPr>
            <w:tcW w:w="5062" w:type="dxa"/>
            <w:noWrap w:val="0"/>
            <w:vAlign w:val="top"/>
          </w:tcPr>
          <w:p>
            <w:pPr>
              <w:bidi w:val="0"/>
              <w:jc w:val="left"/>
            </w:pPr>
            <w:r>
              <w:rPr>
                <w:rFonts w:hint="eastAsia"/>
              </w:rPr>
              <w:t>日    期：      年   月   日</w:t>
            </w:r>
          </w:p>
        </w:tc>
      </w:tr>
    </w:tbl>
    <w:p>
      <w:pPr>
        <w:bidi w:val="0"/>
        <w:ind w:left="0" w:leftChars="0" w:firstLine="0" w:firstLineChars="0"/>
        <w:jc w:val="both"/>
        <w:rPr>
          <w:rFonts w:hint="default"/>
          <w:lang w:val="en-US" w:eastAsia="zh-CN"/>
        </w:rPr>
      </w:pPr>
    </w:p>
    <w:sectPr>
      <w:footerReference r:id="rId8" w:type="default"/>
      <w:pgSz w:w="11850" w:h="16783"/>
      <w:pgMar w:top="1440" w:right="1080" w:bottom="1440" w:left="1080" w:header="720" w:footer="720"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Century Gothic">
    <w:panose1 w:val="020B0502020202020204"/>
    <w:charset w:val="00"/>
    <w:family w:val="swiss"/>
    <w:pitch w:val="default"/>
    <w:sig w:usb0="00000287" w:usb1="00000000" w:usb2="00000000" w:usb3="00000000" w:csb0="2000009F" w:csb1="DFD70000"/>
  </w:font>
  <w:font w:name="楷体_GB2312">
    <w:altName w:val="楷体"/>
    <w:panose1 w:val="020B0604020202020204"/>
    <w:charset w:val="86"/>
    <w:family w:val="swiss"/>
    <w:pitch w:val="default"/>
    <w:sig w:usb0="00000000" w:usb1="00000000" w:usb2="0000001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pPr>
                          <w:r>
                            <w:t xml:space="preserve">第 </w:t>
                          </w:r>
                          <w:r>
                            <w:fldChar w:fldCharType="begin"/>
                          </w:r>
                          <w:r>
                            <w:instrText xml:space="preserve"> PAGE  \* MERGEFORMAT </w:instrText>
                          </w:r>
                          <w:r>
                            <w:fldChar w:fldCharType="separate"/>
                          </w:r>
                          <w:r>
                            <w:t>21</w:t>
                          </w:r>
                          <w:r>
                            <w:fldChar w:fldCharType="end"/>
                          </w:r>
                          <w:r>
                            <w:t xml:space="preserve"> 页 共 </w:t>
                          </w:r>
                          <w:r>
                            <w:fldChar w:fldCharType="begin"/>
                          </w:r>
                          <w:r>
                            <w:instrText xml:space="preserve"> SECTIONPAGES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4"/>
                    </w:pPr>
                    <w:r>
                      <w:t xml:space="preserve">第 </w:t>
                    </w:r>
                    <w:r>
                      <w:fldChar w:fldCharType="begin"/>
                    </w:r>
                    <w:r>
                      <w:instrText xml:space="preserve"> PAGE  \* MERGEFORMAT </w:instrText>
                    </w:r>
                    <w:r>
                      <w:fldChar w:fldCharType="separate"/>
                    </w:r>
                    <w:r>
                      <w:t>21</w:t>
                    </w:r>
                    <w:r>
                      <w:fldChar w:fldCharType="end"/>
                    </w:r>
                    <w:r>
                      <w:t xml:space="preserve"> 页 共 </w:t>
                    </w:r>
                    <w:r>
                      <w:fldChar w:fldCharType="begin"/>
                    </w:r>
                    <w:r>
                      <w:instrText xml:space="preserve"> SECTIONPAGES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9"/>
      <w:tblpPr w:leftFromText="180" w:rightFromText="180" w:vertAnchor="text" w:horzAnchor="page" w:tblpX="1334" w:tblpY="-64"/>
      <w:tblOverlap w:val="never"/>
      <w:tblW w:w="9905" w:type="dxa"/>
      <w:tblInd w:w="0" w:type="dxa"/>
      <w:tblBorders>
        <w:top w:val="none" w:color="auto" w:sz="0" w:space="0"/>
        <w:left w:val="none" w:color="auto" w:sz="0"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6494"/>
      <w:gridCol w:w="3411"/>
    </w:tblGrid>
    <w:tr>
      <w:tblPrEx>
        <w:tblBorders>
          <w:top w:val="none" w:color="auto" w:sz="0" w:space="0"/>
          <w:left w:val="none" w:color="auto" w:sz="0"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6494" w:type="dxa"/>
          <w:vAlign w:val="center"/>
        </w:tcPr>
        <w:p>
          <w:pPr>
            <w:pStyle w:val="56"/>
            <w:pBdr>
              <w:bottom w:val="none" w:color="auto" w:sz="0" w:space="1"/>
            </w:pBdr>
            <w:bidi w:val="0"/>
            <w:jc w:val="both"/>
            <w:rPr>
              <w:rFonts w:hint="default" w:eastAsia="仿宋"/>
              <w:sz w:val="24"/>
              <w:szCs w:val="20"/>
              <w:lang w:val="en-US" w:eastAsia="zh-CN"/>
            </w:rPr>
          </w:pPr>
          <w:r>
            <w:rPr>
              <w:rFonts w:hint="default" w:eastAsia="仿宋"/>
              <w:sz w:val="24"/>
              <w:szCs w:val="20"/>
              <w:lang w:val="en-US" w:eastAsia="zh-CN"/>
            </w:rPr>
            <w:t>新朔铁路智慧化仓储管理、仓库智慧化出入库项目</w:t>
          </w:r>
          <w:r>
            <w:rPr>
              <w:rFonts w:hint="eastAsia"/>
              <w:sz w:val="24"/>
              <w:szCs w:val="20"/>
              <w:lang w:val="en-US" w:eastAsia="zh-CN"/>
            </w:rPr>
            <w:t>机务库WMS</w:t>
          </w:r>
          <w:r>
            <w:rPr>
              <w:rFonts w:hint="default" w:eastAsia="仿宋"/>
              <w:sz w:val="24"/>
              <w:szCs w:val="20"/>
              <w:lang w:val="en-US" w:eastAsia="zh-CN"/>
            </w:rPr>
            <w:t>系统技术协议</w:t>
          </w:r>
        </w:p>
      </w:tc>
      <w:tc>
        <w:tcPr>
          <w:tcW w:w="3411" w:type="dxa"/>
          <w:vAlign w:val="center"/>
        </w:tcPr>
        <w:p>
          <w:pPr>
            <w:pStyle w:val="56"/>
            <w:pBdr>
              <w:bottom w:val="none" w:color="auto" w:sz="0" w:space="1"/>
            </w:pBdr>
            <w:bidi w:val="0"/>
            <w:jc w:val="center"/>
            <w:rPr>
              <w:sz w:val="24"/>
              <w:szCs w:val="20"/>
            </w:rPr>
          </w:pPr>
          <w:r>
            <w:rPr>
              <w:rFonts w:hint="eastAsia"/>
              <w:sz w:val="24"/>
              <w:szCs w:val="20"/>
            </w:rPr>
            <w:drawing>
              <wp:inline distT="0" distB="0" distL="114300" distR="114300">
                <wp:extent cx="1359535" cy="215900"/>
                <wp:effectExtent l="0" t="0" r="12065" b="0"/>
                <wp:docPr id="2" name="图片 31" descr="附件1：170像素文档页眉用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 descr="附件1：170像素文档页眉用中文LOGO"/>
                        <pic:cNvPicPr>
                          <a:picLocks noChangeAspect="1"/>
                        </pic:cNvPicPr>
                      </pic:nvPicPr>
                      <pic:blipFill>
                        <a:blip r:embed="rId1"/>
                        <a:stretch>
                          <a:fillRect/>
                        </a:stretch>
                      </pic:blipFill>
                      <pic:spPr>
                        <a:xfrm>
                          <a:off x="0" y="0"/>
                          <a:ext cx="1359535" cy="215900"/>
                        </a:xfrm>
                        <a:prstGeom prst="rect">
                          <a:avLst/>
                        </a:prstGeom>
                        <a:noFill/>
                        <a:ln w="9525">
                          <a:noFill/>
                        </a:ln>
                      </pic:spPr>
                    </pic:pic>
                  </a:graphicData>
                </a:graphic>
              </wp:inline>
            </w:drawing>
          </w:r>
        </w:p>
      </w:tc>
    </w:tr>
  </w:tbl>
  <w:p>
    <w:pPr>
      <w:pStyle w:val="25"/>
      <w:pBdr>
        <w:bottom w:val="none" w:color="auto" w:sz="0" w:space="1"/>
      </w:pBdr>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A9A6B"/>
    <w:multiLevelType w:val="singleLevel"/>
    <w:tmpl w:val="939A9A6B"/>
    <w:lvl w:ilvl="0" w:tentative="0">
      <w:start w:val="1"/>
      <w:numFmt w:val="decimal"/>
      <w:lvlText w:val="(%1)"/>
      <w:lvlJc w:val="left"/>
      <w:pPr>
        <w:ind w:left="425" w:hanging="425"/>
      </w:pPr>
      <w:rPr>
        <w:rFonts w:hint="default"/>
      </w:rPr>
    </w:lvl>
  </w:abstractNum>
  <w:abstractNum w:abstractNumId="1">
    <w:nsid w:val="A6DB5F30"/>
    <w:multiLevelType w:val="singleLevel"/>
    <w:tmpl w:val="A6DB5F30"/>
    <w:lvl w:ilvl="0" w:tentative="0">
      <w:start w:val="1"/>
      <w:numFmt w:val="decimal"/>
      <w:suff w:val="space"/>
      <w:lvlText w:val="(%1)"/>
      <w:lvlJc w:val="left"/>
      <w:pPr>
        <w:tabs>
          <w:tab w:val="left" w:pos="397"/>
        </w:tabs>
        <w:ind w:left="0" w:firstLine="0"/>
      </w:pPr>
      <w:rPr>
        <w:rFonts w:hint="default"/>
      </w:rPr>
    </w:lvl>
  </w:abstractNum>
  <w:abstractNum w:abstractNumId="2">
    <w:nsid w:val="A83DB090"/>
    <w:multiLevelType w:val="singleLevel"/>
    <w:tmpl w:val="A83DB090"/>
    <w:lvl w:ilvl="0" w:tentative="0">
      <w:start w:val="1"/>
      <w:numFmt w:val="decimal"/>
      <w:lvlText w:val="(%1)"/>
      <w:lvlJc w:val="left"/>
      <w:pPr>
        <w:ind w:left="425" w:hanging="425"/>
      </w:pPr>
      <w:rPr>
        <w:rFonts w:hint="default"/>
      </w:rPr>
    </w:lvl>
  </w:abstractNum>
  <w:abstractNum w:abstractNumId="3">
    <w:nsid w:val="B66EFDC8"/>
    <w:multiLevelType w:val="singleLevel"/>
    <w:tmpl w:val="B66EFDC8"/>
    <w:lvl w:ilvl="0" w:tentative="0">
      <w:start w:val="1"/>
      <w:numFmt w:val="decimal"/>
      <w:lvlText w:val="(%1)"/>
      <w:lvlJc w:val="left"/>
      <w:pPr>
        <w:ind w:left="425" w:hanging="425"/>
      </w:pPr>
      <w:rPr>
        <w:rFonts w:hint="default"/>
      </w:rPr>
    </w:lvl>
  </w:abstractNum>
  <w:abstractNum w:abstractNumId="4">
    <w:nsid w:val="CA22539B"/>
    <w:multiLevelType w:val="multilevel"/>
    <w:tmpl w:val="CA22539B"/>
    <w:lvl w:ilvl="0" w:tentative="0">
      <w:start w:val="1"/>
      <w:numFmt w:val="decimal"/>
      <w:lvlText w:val="(%1)"/>
      <w:lvlJc w:val="left"/>
      <w:pPr>
        <w:tabs>
          <w:tab w:val="left" w:pos="0"/>
        </w:tabs>
        <w:ind w:left="0" w:firstLine="0"/>
      </w:pPr>
      <w:rPr>
        <w:rFonts w:hint="default" w:eastAsia="仿宋"/>
        <w:sz w:val="24"/>
      </w:rPr>
    </w:lvl>
    <w:lvl w:ilvl="1" w:tentative="0">
      <w:start w:val="1"/>
      <w:numFmt w:val="decimalEnclosedCircleChinese"/>
      <w:lvlText w:val="%2"/>
      <w:lvlJc w:val="left"/>
      <w:pPr>
        <w:tabs>
          <w:tab w:val="left" w:pos="840"/>
        </w:tabs>
        <w:ind w:left="840" w:hanging="420"/>
      </w:pPr>
      <w:rPr>
        <w:rFonts w:hint="default" w:eastAsia="仿宋"/>
      </w:rPr>
    </w:lvl>
    <w:lvl w:ilvl="2" w:tentative="0">
      <w:start w:val="1"/>
      <w:numFmt w:val="decimal"/>
      <w:lvlText w:val="%3)"/>
      <w:lvlJc w:val="left"/>
      <w:pPr>
        <w:tabs>
          <w:tab w:val="left" w:pos="1260"/>
        </w:tabs>
        <w:ind w:left="1260" w:hanging="420"/>
      </w:pPr>
      <w:rPr>
        <w:rFonts w:hint="default" w:eastAsia="仿宋"/>
      </w:rPr>
    </w:lvl>
    <w:lvl w:ilvl="3" w:tentative="0">
      <w:start w:val="1"/>
      <w:numFmt w:val="lowerLetter"/>
      <w:lvlText w:val="%4."/>
      <w:lvlJc w:val="left"/>
      <w:pPr>
        <w:tabs>
          <w:tab w:val="left" w:pos="1680"/>
        </w:tabs>
        <w:ind w:left="1680" w:hanging="420"/>
      </w:pPr>
      <w:rPr>
        <w:rFonts w:hint="default" w:eastAsia="仿宋"/>
      </w:rPr>
    </w:lvl>
    <w:lvl w:ilvl="4" w:tentative="0">
      <w:start w:val="1"/>
      <w:numFmt w:val="decimal"/>
      <w:pStyle w:val="6"/>
      <w:isLgl/>
      <w:suff w:val="space"/>
      <w:lvlText w:val="(%5)"/>
      <w:lvlJc w:val="left"/>
      <w:pPr>
        <w:tabs>
          <w:tab w:val="left" w:pos="2098"/>
        </w:tabs>
        <w:ind w:left="0" w:firstLine="0"/>
      </w:pPr>
      <w:rPr>
        <w:rFonts w:hint="default" w:ascii="Times New Roman" w:hAnsi="Times New Roman" w:eastAsia="仿宋" w:cs="宋体"/>
        <w:sz w:val="24"/>
      </w:rPr>
    </w:lvl>
    <w:lvl w:ilvl="5" w:tentative="0">
      <w:start w:val="1"/>
      <w:numFmt w:val="lowerRoman"/>
      <w:lvlText w:val="%6."/>
      <w:lvlJc w:val="left"/>
      <w:pPr>
        <w:tabs>
          <w:tab w:val="left" w:pos="2520"/>
        </w:tabs>
        <w:ind w:left="2520" w:hanging="420"/>
      </w:pPr>
      <w:rPr>
        <w:rFonts w:hint="default" w:eastAsia="仿宋"/>
      </w:rPr>
    </w:lvl>
    <w:lvl w:ilvl="6" w:tentative="0">
      <w:start w:val="1"/>
      <w:numFmt w:val="lowerRoman"/>
      <w:lvlText w:val="%7)"/>
      <w:lvlJc w:val="left"/>
      <w:pPr>
        <w:tabs>
          <w:tab w:val="left" w:pos="2940"/>
        </w:tabs>
        <w:ind w:left="2940" w:hanging="420"/>
      </w:pPr>
      <w:rPr>
        <w:rFonts w:hint="default" w:eastAsia="仿宋"/>
      </w:rPr>
    </w:lvl>
    <w:lvl w:ilvl="7" w:tentative="0">
      <w:start w:val="1"/>
      <w:numFmt w:val="lowerLetter"/>
      <w:lvlText w:val="%8."/>
      <w:lvlJc w:val="left"/>
      <w:pPr>
        <w:tabs>
          <w:tab w:val="left" w:pos="3360"/>
        </w:tabs>
        <w:ind w:left="3360" w:hanging="420"/>
      </w:pPr>
      <w:rPr>
        <w:rFonts w:hint="default" w:eastAsia="仿宋"/>
      </w:rPr>
    </w:lvl>
    <w:lvl w:ilvl="8" w:tentative="0">
      <w:start w:val="1"/>
      <w:numFmt w:val="lowerLetter"/>
      <w:lvlText w:val="%9)"/>
      <w:lvlJc w:val="left"/>
      <w:pPr>
        <w:tabs>
          <w:tab w:val="left" w:pos="3780"/>
        </w:tabs>
        <w:ind w:left="3780" w:hanging="420"/>
      </w:pPr>
      <w:rPr>
        <w:rFonts w:hint="default" w:eastAsia="仿宋"/>
      </w:rPr>
    </w:lvl>
  </w:abstractNum>
  <w:abstractNum w:abstractNumId="5">
    <w:nsid w:val="CFDCB1FA"/>
    <w:multiLevelType w:val="multilevel"/>
    <w:tmpl w:val="CFDCB1FA"/>
    <w:lvl w:ilvl="0" w:tentative="0">
      <w:start w:val="1"/>
      <w:numFmt w:val="decimal"/>
      <w:pStyle w:val="3"/>
      <w:isLgl/>
      <w:suff w:val="space"/>
      <w:lvlText w:val="%1"/>
      <w:lvlJc w:val="left"/>
      <w:pPr>
        <w:tabs>
          <w:tab w:val="left" w:pos="0"/>
        </w:tabs>
        <w:ind w:left="0" w:firstLine="0"/>
      </w:pPr>
      <w:rPr>
        <w:rFonts w:hint="default" w:ascii="Times New Roman" w:hAnsi="Times New Roman" w:eastAsia="仿宋" w:cs="宋体"/>
        <w:sz w:val="30"/>
      </w:rPr>
    </w:lvl>
    <w:lvl w:ilvl="1" w:tentative="0">
      <w:start w:val="1"/>
      <w:numFmt w:val="decimal"/>
      <w:pStyle w:val="2"/>
      <w:isLgl/>
      <w:suff w:val="space"/>
      <w:lvlText w:val="%1.%2"/>
      <w:lvlJc w:val="left"/>
      <w:pPr>
        <w:tabs>
          <w:tab w:val="left" w:pos="0"/>
        </w:tabs>
        <w:ind w:left="0" w:firstLine="0"/>
      </w:pPr>
      <w:rPr>
        <w:rFonts w:hint="default" w:ascii="Times New Roman" w:hAnsi="Times New Roman" w:eastAsia="仿宋" w:cs="宋体"/>
        <w:sz w:val="28"/>
      </w:rPr>
    </w:lvl>
    <w:lvl w:ilvl="2" w:tentative="0">
      <w:start w:val="1"/>
      <w:numFmt w:val="decimal"/>
      <w:pStyle w:val="4"/>
      <w:isLgl/>
      <w:suff w:val="space"/>
      <w:lvlText w:val="%1.%2.%3"/>
      <w:lvlJc w:val="left"/>
      <w:pPr>
        <w:tabs>
          <w:tab w:val="left" w:pos="0"/>
        </w:tabs>
        <w:ind w:left="0" w:firstLine="0"/>
      </w:pPr>
      <w:rPr>
        <w:rFonts w:hint="default" w:ascii="Times New Roman" w:hAnsi="Times New Roman" w:eastAsia="仿宋" w:cs="宋体"/>
        <w:sz w:val="24"/>
      </w:rPr>
    </w:lvl>
    <w:lvl w:ilvl="3" w:tentative="0">
      <w:start w:val="1"/>
      <w:numFmt w:val="decimal"/>
      <w:pStyle w:val="5"/>
      <w:isLgl/>
      <w:suff w:val="space"/>
      <w:lvlText w:val="%1.%2.%3.%4"/>
      <w:lvlJc w:val="left"/>
      <w:pPr>
        <w:tabs>
          <w:tab w:val="left" w:pos="420"/>
        </w:tabs>
        <w:ind w:left="850" w:hanging="850"/>
      </w:pPr>
      <w:rPr>
        <w:rFonts w:hint="default" w:ascii="Times New Roman" w:hAnsi="Times New Roman" w:eastAsia="仿宋"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DAA1636B"/>
    <w:multiLevelType w:val="singleLevel"/>
    <w:tmpl w:val="DAA1636B"/>
    <w:lvl w:ilvl="0" w:tentative="0">
      <w:start w:val="1"/>
      <w:numFmt w:val="decimal"/>
      <w:lvlText w:val="(%1)"/>
      <w:lvlJc w:val="left"/>
      <w:pPr>
        <w:ind w:left="425" w:hanging="425"/>
      </w:pPr>
      <w:rPr>
        <w:rFonts w:hint="default"/>
      </w:rPr>
    </w:lvl>
  </w:abstractNum>
  <w:abstractNum w:abstractNumId="7">
    <w:nsid w:val="E04FCF89"/>
    <w:multiLevelType w:val="singleLevel"/>
    <w:tmpl w:val="E04FCF89"/>
    <w:lvl w:ilvl="0" w:tentative="0">
      <w:start w:val="1"/>
      <w:numFmt w:val="decimal"/>
      <w:lvlText w:val="(%1)"/>
      <w:lvlJc w:val="left"/>
      <w:pPr>
        <w:ind w:left="425" w:hanging="425"/>
      </w:pPr>
      <w:rPr>
        <w:rFonts w:hint="default"/>
      </w:rPr>
    </w:lvl>
  </w:abstractNum>
  <w:abstractNum w:abstractNumId="8">
    <w:nsid w:val="EDC08F5B"/>
    <w:multiLevelType w:val="singleLevel"/>
    <w:tmpl w:val="EDC08F5B"/>
    <w:lvl w:ilvl="0" w:tentative="0">
      <w:start w:val="1"/>
      <w:numFmt w:val="decimal"/>
      <w:lvlText w:val="(%1)"/>
      <w:lvlJc w:val="left"/>
      <w:pPr>
        <w:ind w:left="425" w:hanging="425"/>
      </w:pPr>
      <w:rPr>
        <w:rFonts w:hint="default"/>
      </w:rPr>
    </w:lvl>
  </w:abstractNum>
  <w:abstractNum w:abstractNumId="9">
    <w:nsid w:val="FEC0C845"/>
    <w:multiLevelType w:val="singleLevel"/>
    <w:tmpl w:val="FEC0C845"/>
    <w:lvl w:ilvl="0" w:tentative="0">
      <w:start w:val="1"/>
      <w:numFmt w:val="decimal"/>
      <w:lvlText w:val="(%1)"/>
      <w:lvlJc w:val="left"/>
      <w:pPr>
        <w:ind w:left="425" w:hanging="425"/>
      </w:pPr>
      <w:rPr>
        <w:rFonts w:hint="default"/>
      </w:rPr>
    </w:lvl>
  </w:abstractNum>
  <w:abstractNum w:abstractNumId="10">
    <w:nsid w:val="FFFFFF88"/>
    <w:multiLevelType w:val="singleLevel"/>
    <w:tmpl w:val="FFFFFF88"/>
    <w:lvl w:ilvl="0" w:tentative="0">
      <w:start w:val="1"/>
      <w:numFmt w:val="decimal"/>
      <w:pStyle w:val="10"/>
      <w:lvlText w:val="%1."/>
      <w:lvlJc w:val="left"/>
      <w:pPr>
        <w:tabs>
          <w:tab w:val="left" w:pos="360"/>
        </w:tabs>
        <w:ind w:left="360" w:hanging="360"/>
      </w:pPr>
    </w:lvl>
  </w:abstractNum>
  <w:abstractNum w:abstractNumId="11">
    <w:nsid w:val="00000005"/>
    <w:multiLevelType w:val="multilevel"/>
    <w:tmpl w:val="00000005"/>
    <w:lvl w:ilvl="0" w:tentative="0">
      <w:start w:val="1"/>
      <w:numFmt w:val="decimal"/>
      <w:pStyle w:val="74"/>
      <w:lvlText w:val="[%1]"/>
      <w:lvlJc w:val="left"/>
      <w:pPr>
        <w:tabs>
          <w:tab w:val="left" w:pos="839"/>
        </w:tabs>
        <w:ind w:left="839" w:hanging="720"/>
      </w:pPr>
      <w:rPr>
        <w:rFonts w:hint="default"/>
      </w:rPr>
    </w:lvl>
    <w:lvl w:ilvl="1" w:tentative="0">
      <w:start w:val="1"/>
      <w:numFmt w:val="decimal"/>
      <w:pStyle w:val="79"/>
      <w:lvlText w:val="［%2］"/>
      <w:lvlJc w:val="left"/>
      <w:pPr>
        <w:tabs>
          <w:tab w:val="left" w:pos="1410"/>
        </w:tabs>
        <w:ind w:left="1410" w:hanging="990"/>
      </w:pPr>
      <w:rPr>
        <w:rFonts w:hint="default"/>
      </w:rPr>
    </w:lvl>
    <w:lvl w:ilvl="2" w:tentative="0">
      <w:start w:val="1"/>
      <w:numFmt w:val="lowerRoman"/>
      <w:pStyle w:val="84"/>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000000F"/>
    <w:multiLevelType w:val="multilevel"/>
    <w:tmpl w:val="000000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4CB7F4E"/>
    <w:multiLevelType w:val="singleLevel"/>
    <w:tmpl w:val="14CB7F4E"/>
    <w:lvl w:ilvl="0" w:tentative="0">
      <w:start w:val="1"/>
      <w:numFmt w:val="decimal"/>
      <w:lvlText w:val="(%1)"/>
      <w:lvlJc w:val="left"/>
      <w:pPr>
        <w:ind w:left="425" w:hanging="425"/>
      </w:pPr>
      <w:rPr>
        <w:rFonts w:hint="default"/>
      </w:rPr>
    </w:lvl>
  </w:abstractNum>
  <w:abstractNum w:abstractNumId="14">
    <w:nsid w:val="2EDB5327"/>
    <w:multiLevelType w:val="multilevel"/>
    <w:tmpl w:val="2EDB5327"/>
    <w:lvl w:ilvl="0" w:tentative="0">
      <w:start w:val="1"/>
      <w:numFmt w:val="decimal"/>
      <w:suff w:val="nothing"/>
      <w:lvlText w:val="第%1部分"/>
      <w:lvlJc w:val="left"/>
      <w:pPr>
        <w:ind w:left="0" w:firstLine="0"/>
      </w:pPr>
      <w:rPr>
        <w:rFonts w:hint="eastAsia" w:eastAsia="华文行楷"/>
        <w:sz w:val="32"/>
        <w:szCs w:val="32"/>
      </w:rPr>
    </w:lvl>
    <w:lvl w:ilvl="1" w:tentative="0">
      <w:start w:val="1"/>
      <w:numFmt w:val="decimal"/>
      <w:suff w:val="nothing"/>
      <w:lvlText w:val="%2 "/>
      <w:lvlJc w:val="left"/>
      <w:pPr>
        <w:ind w:left="0" w:firstLine="0"/>
      </w:pPr>
      <w:rPr>
        <w:rFonts w:hint="eastAsia" w:eastAsia="黑体"/>
        <w:sz w:val="28"/>
        <w:szCs w:val="28"/>
      </w:rPr>
    </w:lvl>
    <w:lvl w:ilvl="2" w:tentative="0">
      <w:start w:val="1"/>
      <w:numFmt w:val="decimal"/>
      <w:suff w:val="nothing"/>
      <w:lvlText w:val="%2.%3 "/>
      <w:lvlJc w:val="left"/>
      <w:pPr>
        <w:ind w:left="105" w:firstLine="0"/>
      </w:pPr>
      <w:rPr>
        <w:rFonts w:hint="eastAsia" w:eastAsia="黑体"/>
        <w:sz w:val="28"/>
        <w:szCs w:val="28"/>
      </w:rPr>
    </w:lvl>
    <w:lvl w:ilvl="3" w:tentative="0">
      <w:start w:val="1"/>
      <w:numFmt w:val="decimal"/>
      <w:suff w:val="nothing"/>
      <w:lvlText w:val="%2.%3.%4 "/>
      <w:lvlJc w:val="left"/>
      <w:pPr>
        <w:ind w:left="2552" w:firstLine="0"/>
      </w:pPr>
      <w:rPr>
        <w:rFonts w:hint="eastAsia" w:eastAsia="黑体"/>
        <w:b w:val="0"/>
        <w:i w:val="0"/>
        <w:sz w:val="24"/>
        <w:szCs w:val="24"/>
      </w:rPr>
    </w:lvl>
    <w:lvl w:ilvl="4" w:tentative="0">
      <w:start w:val="1"/>
      <w:numFmt w:val="decimal"/>
      <w:suff w:val="nothing"/>
      <w:lvlText w:val="%2.%3.%4.%5 "/>
      <w:lvlJc w:val="left"/>
      <w:pPr>
        <w:ind w:left="0" w:firstLine="0"/>
      </w:pPr>
      <w:rPr>
        <w:rFonts w:hint="eastAsia" w:eastAsia="黑体"/>
        <w:sz w:val="24"/>
        <w:szCs w:val="24"/>
      </w:rPr>
    </w:lvl>
    <w:lvl w:ilvl="5" w:tentative="0">
      <w:start w:val="1"/>
      <w:numFmt w:val="decimal"/>
      <w:pStyle w:val="7"/>
      <w:suff w:val="nothing"/>
      <w:lvlText w:val="%2.%3.%4.%5.%6 "/>
      <w:lvlJc w:val="left"/>
      <w:pPr>
        <w:ind w:left="0" w:firstLine="0"/>
      </w:pPr>
      <w:rPr>
        <w:rFonts w:hint="eastAsia" w:eastAsia="黑体"/>
        <w:sz w:val="24"/>
        <w:szCs w:val="24"/>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5">
    <w:nsid w:val="316E4BA8"/>
    <w:multiLevelType w:val="singleLevel"/>
    <w:tmpl w:val="316E4BA8"/>
    <w:lvl w:ilvl="0" w:tentative="0">
      <w:start w:val="1"/>
      <w:numFmt w:val="decimal"/>
      <w:lvlText w:val="(%1)"/>
      <w:lvlJc w:val="left"/>
      <w:pPr>
        <w:ind w:left="425" w:hanging="425"/>
      </w:pPr>
      <w:rPr>
        <w:rFonts w:hint="default"/>
      </w:rPr>
    </w:lvl>
  </w:abstractNum>
  <w:abstractNum w:abstractNumId="16">
    <w:nsid w:val="3B809E58"/>
    <w:multiLevelType w:val="singleLevel"/>
    <w:tmpl w:val="3B809E58"/>
    <w:lvl w:ilvl="0" w:tentative="0">
      <w:start w:val="1"/>
      <w:numFmt w:val="decimal"/>
      <w:lvlText w:val="(%1)"/>
      <w:lvlJc w:val="left"/>
      <w:pPr>
        <w:tabs>
          <w:tab w:val="left" w:pos="420"/>
        </w:tabs>
        <w:ind w:left="425" w:hanging="425"/>
      </w:pPr>
      <w:rPr>
        <w:rFonts w:hint="default"/>
      </w:rPr>
    </w:lvl>
  </w:abstractNum>
  <w:abstractNum w:abstractNumId="17">
    <w:nsid w:val="4E0395CC"/>
    <w:multiLevelType w:val="singleLevel"/>
    <w:tmpl w:val="4E0395CC"/>
    <w:lvl w:ilvl="0" w:tentative="0">
      <w:start w:val="1"/>
      <w:numFmt w:val="decimalEnclosedCircleChinese"/>
      <w:suff w:val="nothing"/>
      <w:lvlText w:val="%1　"/>
      <w:lvlJc w:val="left"/>
      <w:pPr>
        <w:ind w:left="0" w:firstLine="400"/>
      </w:pPr>
      <w:rPr>
        <w:rFonts w:hint="eastAsia"/>
      </w:rPr>
    </w:lvl>
  </w:abstractNum>
  <w:abstractNum w:abstractNumId="18">
    <w:nsid w:val="5ADACD23"/>
    <w:multiLevelType w:val="singleLevel"/>
    <w:tmpl w:val="5ADACD23"/>
    <w:lvl w:ilvl="0" w:tentative="0">
      <w:start w:val="1"/>
      <w:numFmt w:val="decimal"/>
      <w:lvlText w:val="(%1)"/>
      <w:lvlJc w:val="left"/>
      <w:pPr>
        <w:ind w:left="425" w:hanging="425"/>
      </w:pPr>
      <w:rPr>
        <w:rFonts w:hint="default"/>
      </w:rPr>
    </w:lvl>
  </w:abstractNum>
  <w:abstractNum w:abstractNumId="19">
    <w:nsid w:val="64745A1C"/>
    <w:multiLevelType w:val="singleLevel"/>
    <w:tmpl w:val="64745A1C"/>
    <w:lvl w:ilvl="0" w:tentative="0">
      <w:start w:val="1"/>
      <w:numFmt w:val="decimal"/>
      <w:lvlText w:val="(%1)"/>
      <w:lvlJc w:val="left"/>
      <w:pPr>
        <w:tabs>
          <w:tab w:val="left" w:pos="420"/>
        </w:tabs>
        <w:ind w:left="425" w:hanging="425"/>
      </w:pPr>
      <w:rPr>
        <w:rFonts w:hint="default"/>
      </w:rPr>
    </w:lvl>
  </w:abstractNum>
  <w:num w:numId="1">
    <w:abstractNumId w:val="5"/>
  </w:num>
  <w:num w:numId="2">
    <w:abstractNumId w:val="4"/>
  </w:num>
  <w:num w:numId="3">
    <w:abstractNumId w:val="14"/>
  </w:num>
  <w:num w:numId="4">
    <w:abstractNumId w:val="10"/>
  </w:num>
  <w:num w:numId="5">
    <w:abstractNumId w:val="11"/>
  </w:num>
  <w:num w:numId="6">
    <w:abstractNumId w:val="1"/>
  </w:num>
  <w:num w:numId="7">
    <w:abstractNumId w:val="17"/>
  </w:num>
  <w:num w:numId="8">
    <w:abstractNumId w:val="12"/>
  </w:num>
  <w:num w:numId="9">
    <w:abstractNumId w:val="3"/>
  </w:num>
  <w:num w:numId="10">
    <w:abstractNumId w:val="9"/>
  </w:num>
  <w:num w:numId="11">
    <w:abstractNumId w:val="6"/>
  </w:num>
  <w:num w:numId="12">
    <w:abstractNumId w:val="13"/>
  </w:num>
  <w:num w:numId="13">
    <w:abstractNumId w:val="7"/>
  </w:num>
  <w:num w:numId="14">
    <w:abstractNumId w:val="18"/>
  </w:num>
  <w:num w:numId="15">
    <w:abstractNumId w:val="15"/>
  </w:num>
  <w:num w:numId="16">
    <w:abstractNumId w:val="8"/>
  </w:num>
  <w:num w:numId="17">
    <w:abstractNumId w:val="0"/>
  </w:num>
  <w:num w:numId="18">
    <w:abstractNumId w:val="2"/>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readOnly" w:enforcement="0"/>
  <w:defaultTabStop w:val="420"/>
  <w:drawingGridHorizontalSpacing w:val="120"/>
  <w:drawingGridVerticalSpacing w:val="347"/>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NhNTVmZjc2ZGNkZmFjNmVlYzJhZmE0MjA0NWEzZDAifQ=="/>
  </w:docVars>
  <w:rsids>
    <w:rsidRoot w:val="0FFA2537"/>
    <w:rsid w:val="00005323"/>
    <w:rsid w:val="000073CA"/>
    <w:rsid w:val="000101E8"/>
    <w:rsid w:val="000141D6"/>
    <w:rsid w:val="0001448E"/>
    <w:rsid w:val="00016B62"/>
    <w:rsid w:val="00020154"/>
    <w:rsid w:val="00023BBC"/>
    <w:rsid w:val="0002443E"/>
    <w:rsid w:val="000267B4"/>
    <w:rsid w:val="00026B36"/>
    <w:rsid w:val="00030956"/>
    <w:rsid w:val="0003547E"/>
    <w:rsid w:val="00036462"/>
    <w:rsid w:val="00036F18"/>
    <w:rsid w:val="00037CA8"/>
    <w:rsid w:val="000407BB"/>
    <w:rsid w:val="00041C09"/>
    <w:rsid w:val="00041ECA"/>
    <w:rsid w:val="000421D5"/>
    <w:rsid w:val="00044E22"/>
    <w:rsid w:val="00052911"/>
    <w:rsid w:val="00054874"/>
    <w:rsid w:val="00056856"/>
    <w:rsid w:val="00070C44"/>
    <w:rsid w:val="00070D0D"/>
    <w:rsid w:val="0007224E"/>
    <w:rsid w:val="000734C8"/>
    <w:rsid w:val="00073941"/>
    <w:rsid w:val="00073DF6"/>
    <w:rsid w:val="00074237"/>
    <w:rsid w:val="000766EE"/>
    <w:rsid w:val="00077BD0"/>
    <w:rsid w:val="000831B0"/>
    <w:rsid w:val="0008463A"/>
    <w:rsid w:val="00085FEB"/>
    <w:rsid w:val="00087117"/>
    <w:rsid w:val="0009074B"/>
    <w:rsid w:val="00092DFC"/>
    <w:rsid w:val="00092ECA"/>
    <w:rsid w:val="00094C76"/>
    <w:rsid w:val="00097A60"/>
    <w:rsid w:val="00097F97"/>
    <w:rsid w:val="000A1378"/>
    <w:rsid w:val="000A5B52"/>
    <w:rsid w:val="000A7172"/>
    <w:rsid w:val="000A7864"/>
    <w:rsid w:val="000B06E6"/>
    <w:rsid w:val="000B2DAB"/>
    <w:rsid w:val="000B4043"/>
    <w:rsid w:val="000B505F"/>
    <w:rsid w:val="000B541B"/>
    <w:rsid w:val="000B73A1"/>
    <w:rsid w:val="000C159C"/>
    <w:rsid w:val="000C3134"/>
    <w:rsid w:val="000C45EB"/>
    <w:rsid w:val="000D0B50"/>
    <w:rsid w:val="000E04AF"/>
    <w:rsid w:val="000E38EC"/>
    <w:rsid w:val="000E6723"/>
    <w:rsid w:val="000F4162"/>
    <w:rsid w:val="00106176"/>
    <w:rsid w:val="001061E3"/>
    <w:rsid w:val="00107520"/>
    <w:rsid w:val="001104BD"/>
    <w:rsid w:val="001113FD"/>
    <w:rsid w:val="00114FA5"/>
    <w:rsid w:val="00116E53"/>
    <w:rsid w:val="00117D6B"/>
    <w:rsid w:val="00120093"/>
    <w:rsid w:val="00120813"/>
    <w:rsid w:val="0013246C"/>
    <w:rsid w:val="001403DB"/>
    <w:rsid w:val="0014073D"/>
    <w:rsid w:val="00140CE9"/>
    <w:rsid w:val="00144DBC"/>
    <w:rsid w:val="00145212"/>
    <w:rsid w:val="00150625"/>
    <w:rsid w:val="0015098F"/>
    <w:rsid w:val="00157A40"/>
    <w:rsid w:val="00165515"/>
    <w:rsid w:val="00170B8D"/>
    <w:rsid w:val="001713AE"/>
    <w:rsid w:val="00172A27"/>
    <w:rsid w:val="0017417B"/>
    <w:rsid w:val="001749B5"/>
    <w:rsid w:val="00175971"/>
    <w:rsid w:val="00176178"/>
    <w:rsid w:val="00176902"/>
    <w:rsid w:val="00181B4A"/>
    <w:rsid w:val="00186B75"/>
    <w:rsid w:val="00191947"/>
    <w:rsid w:val="00192613"/>
    <w:rsid w:val="001926CB"/>
    <w:rsid w:val="00193EB5"/>
    <w:rsid w:val="00194E26"/>
    <w:rsid w:val="00196D60"/>
    <w:rsid w:val="001A04E0"/>
    <w:rsid w:val="001A0917"/>
    <w:rsid w:val="001A1ABC"/>
    <w:rsid w:val="001A245E"/>
    <w:rsid w:val="001A30BE"/>
    <w:rsid w:val="001A5DFC"/>
    <w:rsid w:val="001A7088"/>
    <w:rsid w:val="001B0744"/>
    <w:rsid w:val="001B5C7C"/>
    <w:rsid w:val="001B5E68"/>
    <w:rsid w:val="001B72FC"/>
    <w:rsid w:val="001C0E21"/>
    <w:rsid w:val="001C16A1"/>
    <w:rsid w:val="001C4EF3"/>
    <w:rsid w:val="001C5660"/>
    <w:rsid w:val="001D0424"/>
    <w:rsid w:val="001D269F"/>
    <w:rsid w:val="001D29AE"/>
    <w:rsid w:val="001E105B"/>
    <w:rsid w:val="001E33FD"/>
    <w:rsid w:val="001E5D19"/>
    <w:rsid w:val="001E7C4B"/>
    <w:rsid w:val="001F4609"/>
    <w:rsid w:val="001F696E"/>
    <w:rsid w:val="00204D77"/>
    <w:rsid w:val="00204E9E"/>
    <w:rsid w:val="00206A52"/>
    <w:rsid w:val="00211877"/>
    <w:rsid w:val="002124D0"/>
    <w:rsid w:val="00214F6F"/>
    <w:rsid w:val="00234493"/>
    <w:rsid w:val="0023497F"/>
    <w:rsid w:val="002356F2"/>
    <w:rsid w:val="00236B22"/>
    <w:rsid w:val="00241C8D"/>
    <w:rsid w:val="002438FD"/>
    <w:rsid w:val="002458AE"/>
    <w:rsid w:val="00253526"/>
    <w:rsid w:val="002607FF"/>
    <w:rsid w:val="002610F0"/>
    <w:rsid w:val="00262032"/>
    <w:rsid w:val="002653D6"/>
    <w:rsid w:val="002729D3"/>
    <w:rsid w:val="00272ADD"/>
    <w:rsid w:val="00283832"/>
    <w:rsid w:val="00283AA4"/>
    <w:rsid w:val="002855BB"/>
    <w:rsid w:val="002869BA"/>
    <w:rsid w:val="00286E12"/>
    <w:rsid w:val="002901BD"/>
    <w:rsid w:val="00290DE6"/>
    <w:rsid w:val="002931DD"/>
    <w:rsid w:val="002937AF"/>
    <w:rsid w:val="002B1654"/>
    <w:rsid w:val="002B1E22"/>
    <w:rsid w:val="002C2591"/>
    <w:rsid w:val="002C2FAD"/>
    <w:rsid w:val="002C35A5"/>
    <w:rsid w:val="002C57EF"/>
    <w:rsid w:val="002D0318"/>
    <w:rsid w:val="002D1324"/>
    <w:rsid w:val="002D3613"/>
    <w:rsid w:val="002D3C72"/>
    <w:rsid w:val="002D56AE"/>
    <w:rsid w:val="002D641F"/>
    <w:rsid w:val="002D75E3"/>
    <w:rsid w:val="002E38E0"/>
    <w:rsid w:val="002E4F4F"/>
    <w:rsid w:val="002E6205"/>
    <w:rsid w:val="002E6AAF"/>
    <w:rsid w:val="002F1106"/>
    <w:rsid w:val="002F59FF"/>
    <w:rsid w:val="002F5D4E"/>
    <w:rsid w:val="002F71A6"/>
    <w:rsid w:val="00300A9C"/>
    <w:rsid w:val="00302D86"/>
    <w:rsid w:val="00304D90"/>
    <w:rsid w:val="003070F5"/>
    <w:rsid w:val="003143BE"/>
    <w:rsid w:val="003149E6"/>
    <w:rsid w:val="003229C4"/>
    <w:rsid w:val="00324DA6"/>
    <w:rsid w:val="003252E1"/>
    <w:rsid w:val="00325370"/>
    <w:rsid w:val="0032600C"/>
    <w:rsid w:val="00327810"/>
    <w:rsid w:val="00327BE5"/>
    <w:rsid w:val="00330485"/>
    <w:rsid w:val="00330861"/>
    <w:rsid w:val="00334DC9"/>
    <w:rsid w:val="003351FA"/>
    <w:rsid w:val="003422C0"/>
    <w:rsid w:val="0034461C"/>
    <w:rsid w:val="003465D5"/>
    <w:rsid w:val="003516E1"/>
    <w:rsid w:val="00356075"/>
    <w:rsid w:val="00360BEA"/>
    <w:rsid w:val="0036193B"/>
    <w:rsid w:val="00364732"/>
    <w:rsid w:val="003679D3"/>
    <w:rsid w:val="003704FE"/>
    <w:rsid w:val="003739CC"/>
    <w:rsid w:val="00375400"/>
    <w:rsid w:val="00377AFA"/>
    <w:rsid w:val="00383581"/>
    <w:rsid w:val="0038750F"/>
    <w:rsid w:val="00392DF9"/>
    <w:rsid w:val="003A203A"/>
    <w:rsid w:val="003A21B4"/>
    <w:rsid w:val="003A41BE"/>
    <w:rsid w:val="003A5480"/>
    <w:rsid w:val="003A6490"/>
    <w:rsid w:val="003A79BF"/>
    <w:rsid w:val="003B03DA"/>
    <w:rsid w:val="003B13A2"/>
    <w:rsid w:val="003B1669"/>
    <w:rsid w:val="003B2A4E"/>
    <w:rsid w:val="003B5C6E"/>
    <w:rsid w:val="003C0524"/>
    <w:rsid w:val="003C4B15"/>
    <w:rsid w:val="003D15E2"/>
    <w:rsid w:val="003D25D3"/>
    <w:rsid w:val="003D78B9"/>
    <w:rsid w:val="003D7D39"/>
    <w:rsid w:val="003E250A"/>
    <w:rsid w:val="003E3684"/>
    <w:rsid w:val="003E3C16"/>
    <w:rsid w:val="003E511D"/>
    <w:rsid w:val="003E676A"/>
    <w:rsid w:val="003E789A"/>
    <w:rsid w:val="003F1667"/>
    <w:rsid w:val="003F2337"/>
    <w:rsid w:val="003F2E2F"/>
    <w:rsid w:val="003F434E"/>
    <w:rsid w:val="003F546E"/>
    <w:rsid w:val="003F6D8B"/>
    <w:rsid w:val="00402728"/>
    <w:rsid w:val="0040294B"/>
    <w:rsid w:val="004054DC"/>
    <w:rsid w:val="00406D4C"/>
    <w:rsid w:val="00407492"/>
    <w:rsid w:val="00407839"/>
    <w:rsid w:val="00414D40"/>
    <w:rsid w:val="00415A11"/>
    <w:rsid w:val="0041671F"/>
    <w:rsid w:val="004171B5"/>
    <w:rsid w:val="00420662"/>
    <w:rsid w:val="00424B6E"/>
    <w:rsid w:val="00425F37"/>
    <w:rsid w:val="00426C69"/>
    <w:rsid w:val="00427522"/>
    <w:rsid w:val="004305E6"/>
    <w:rsid w:val="0043216F"/>
    <w:rsid w:val="00434DFE"/>
    <w:rsid w:val="0043540D"/>
    <w:rsid w:val="00444B86"/>
    <w:rsid w:val="00450B7B"/>
    <w:rsid w:val="00450C24"/>
    <w:rsid w:val="00450C48"/>
    <w:rsid w:val="00452017"/>
    <w:rsid w:val="004522DF"/>
    <w:rsid w:val="004529CB"/>
    <w:rsid w:val="00452B3D"/>
    <w:rsid w:val="00457438"/>
    <w:rsid w:val="00461F63"/>
    <w:rsid w:val="004631FC"/>
    <w:rsid w:val="004656D5"/>
    <w:rsid w:val="00465C98"/>
    <w:rsid w:val="004673B4"/>
    <w:rsid w:val="00471A41"/>
    <w:rsid w:val="0047261D"/>
    <w:rsid w:val="0047552E"/>
    <w:rsid w:val="00476CF8"/>
    <w:rsid w:val="00481B66"/>
    <w:rsid w:val="00487319"/>
    <w:rsid w:val="00491AAC"/>
    <w:rsid w:val="004920E2"/>
    <w:rsid w:val="00492B03"/>
    <w:rsid w:val="00497713"/>
    <w:rsid w:val="004A4314"/>
    <w:rsid w:val="004A444F"/>
    <w:rsid w:val="004A57E3"/>
    <w:rsid w:val="004A67EC"/>
    <w:rsid w:val="004B5E2A"/>
    <w:rsid w:val="004B69BE"/>
    <w:rsid w:val="004B6B64"/>
    <w:rsid w:val="004C0413"/>
    <w:rsid w:val="004C1292"/>
    <w:rsid w:val="004C3350"/>
    <w:rsid w:val="004C39A6"/>
    <w:rsid w:val="004C404B"/>
    <w:rsid w:val="004C7FFA"/>
    <w:rsid w:val="004D69C6"/>
    <w:rsid w:val="004D7B77"/>
    <w:rsid w:val="004D7F3B"/>
    <w:rsid w:val="004E1A35"/>
    <w:rsid w:val="004E2FD9"/>
    <w:rsid w:val="004F00DC"/>
    <w:rsid w:val="004F19F2"/>
    <w:rsid w:val="004F3790"/>
    <w:rsid w:val="004F3FCF"/>
    <w:rsid w:val="004F579A"/>
    <w:rsid w:val="005004BB"/>
    <w:rsid w:val="00501061"/>
    <w:rsid w:val="00503C63"/>
    <w:rsid w:val="005075F6"/>
    <w:rsid w:val="005126B6"/>
    <w:rsid w:val="00513F6B"/>
    <w:rsid w:val="00515C31"/>
    <w:rsid w:val="00522C0B"/>
    <w:rsid w:val="00522D8E"/>
    <w:rsid w:val="005256DB"/>
    <w:rsid w:val="00527C11"/>
    <w:rsid w:val="0054196F"/>
    <w:rsid w:val="0054224E"/>
    <w:rsid w:val="00542D22"/>
    <w:rsid w:val="00544F41"/>
    <w:rsid w:val="00556FB4"/>
    <w:rsid w:val="0055709E"/>
    <w:rsid w:val="005600A2"/>
    <w:rsid w:val="005645B9"/>
    <w:rsid w:val="005672AE"/>
    <w:rsid w:val="00571060"/>
    <w:rsid w:val="005712EE"/>
    <w:rsid w:val="005736A2"/>
    <w:rsid w:val="005803B3"/>
    <w:rsid w:val="0058693B"/>
    <w:rsid w:val="00593CB6"/>
    <w:rsid w:val="00594349"/>
    <w:rsid w:val="005958C8"/>
    <w:rsid w:val="00596DA2"/>
    <w:rsid w:val="005A356F"/>
    <w:rsid w:val="005A6727"/>
    <w:rsid w:val="005A6979"/>
    <w:rsid w:val="005B0A00"/>
    <w:rsid w:val="005B7268"/>
    <w:rsid w:val="005C1B8A"/>
    <w:rsid w:val="005C52F4"/>
    <w:rsid w:val="005C7E83"/>
    <w:rsid w:val="005D076C"/>
    <w:rsid w:val="005D10B5"/>
    <w:rsid w:val="005E0C54"/>
    <w:rsid w:val="005E3117"/>
    <w:rsid w:val="005E39BE"/>
    <w:rsid w:val="005E507D"/>
    <w:rsid w:val="005E7376"/>
    <w:rsid w:val="005F0910"/>
    <w:rsid w:val="005F254F"/>
    <w:rsid w:val="005F6C76"/>
    <w:rsid w:val="0060154E"/>
    <w:rsid w:val="00602103"/>
    <w:rsid w:val="006023E6"/>
    <w:rsid w:val="006041CB"/>
    <w:rsid w:val="00615569"/>
    <w:rsid w:val="00620BFD"/>
    <w:rsid w:val="00625CFB"/>
    <w:rsid w:val="006267D5"/>
    <w:rsid w:val="00631CAA"/>
    <w:rsid w:val="00632269"/>
    <w:rsid w:val="00636A69"/>
    <w:rsid w:val="00636AB7"/>
    <w:rsid w:val="00645170"/>
    <w:rsid w:val="00645493"/>
    <w:rsid w:val="006471D1"/>
    <w:rsid w:val="00653A42"/>
    <w:rsid w:val="00655A3A"/>
    <w:rsid w:val="00657FC7"/>
    <w:rsid w:val="00660640"/>
    <w:rsid w:val="006617C6"/>
    <w:rsid w:val="0066502A"/>
    <w:rsid w:val="0067099E"/>
    <w:rsid w:val="00672243"/>
    <w:rsid w:val="00680D00"/>
    <w:rsid w:val="00685E6E"/>
    <w:rsid w:val="00690FAC"/>
    <w:rsid w:val="00691482"/>
    <w:rsid w:val="0069311A"/>
    <w:rsid w:val="00696D54"/>
    <w:rsid w:val="006979FE"/>
    <w:rsid w:val="00697C53"/>
    <w:rsid w:val="006A0541"/>
    <w:rsid w:val="006A24E9"/>
    <w:rsid w:val="006A60BB"/>
    <w:rsid w:val="006A61E1"/>
    <w:rsid w:val="006A6759"/>
    <w:rsid w:val="006A7A25"/>
    <w:rsid w:val="006B20CE"/>
    <w:rsid w:val="006B2CBF"/>
    <w:rsid w:val="006B76A4"/>
    <w:rsid w:val="006B76E5"/>
    <w:rsid w:val="006C0082"/>
    <w:rsid w:val="006C2BB3"/>
    <w:rsid w:val="006C2C73"/>
    <w:rsid w:val="006C3619"/>
    <w:rsid w:val="006C60B1"/>
    <w:rsid w:val="006C7D15"/>
    <w:rsid w:val="006D2570"/>
    <w:rsid w:val="006D5664"/>
    <w:rsid w:val="006D7201"/>
    <w:rsid w:val="006E0EDA"/>
    <w:rsid w:val="006E2D5E"/>
    <w:rsid w:val="006E3CE0"/>
    <w:rsid w:val="006E5945"/>
    <w:rsid w:val="006E65BD"/>
    <w:rsid w:val="006E6CFD"/>
    <w:rsid w:val="006F3A9B"/>
    <w:rsid w:val="006F6482"/>
    <w:rsid w:val="00702755"/>
    <w:rsid w:val="007036BD"/>
    <w:rsid w:val="00704841"/>
    <w:rsid w:val="0070623B"/>
    <w:rsid w:val="00706732"/>
    <w:rsid w:val="0070674C"/>
    <w:rsid w:val="00707812"/>
    <w:rsid w:val="00714867"/>
    <w:rsid w:val="00717549"/>
    <w:rsid w:val="007204D7"/>
    <w:rsid w:val="0072124A"/>
    <w:rsid w:val="007235F0"/>
    <w:rsid w:val="00724157"/>
    <w:rsid w:val="00727E8C"/>
    <w:rsid w:val="00733DD5"/>
    <w:rsid w:val="007400B9"/>
    <w:rsid w:val="00740271"/>
    <w:rsid w:val="00740701"/>
    <w:rsid w:val="00742733"/>
    <w:rsid w:val="00742904"/>
    <w:rsid w:val="00746540"/>
    <w:rsid w:val="007506F2"/>
    <w:rsid w:val="00750FF7"/>
    <w:rsid w:val="00751AF7"/>
    <w:rsid w:val="0075408A"/>
    <w:rsid w:val="00762EBC"/>
    <w:rsid w:val="00772029"/>
    <w:rsid w:val="0077546F"/>
    <w:rsid w:val="0077571C"/>
    <w:rsid w:val="00775727"/>
    <w:rsid w:val="00780EE9"/>
    <w:rsid w:val="00785019"/>
    <w:rsid w:val="007850C7"/>
    <w:rsid w:val="007852A4"/>
    <w:rsid w:val="007854EB"/>
    <w:rsid w:val="00785809"/>
    <w:rsid w:val="00791263"/>
    <w:rsid w:val="00792E82"/>
    <w:rsid w:val="00793491"/>
    <w:rsid w:val="0079481C"/>
    <w:rsid w:val="007A52C8"/>
    <w:rsid w:val="007A5841"/>
    <w:rsid w:val="007B21FC"/>
    <w:rsid w:val="007B2452"/>
    <w:rsid w:val="007B5403"/>
    <w:rsid w:val="007B7981"/>
    <w:rsid w:val="007C2474"/>
    <w:rsid w:val="007C3AA0"/>
    <w:rsid w:val="007C5B52"/>
    <w:rsid w:val="007C6B82"/>
    <w:rsid w:val="007C7D2D"/>
    <w:rsid w:val="007D7B3F"/>
    <w:rsid w:val="007D7F2F"/>
    <w:rsid w:val="007E30FE"/>
    <w:rsid w:val="007E44DB"/>
    <w:rsid w:val="007E6361"/>
    <w:rsid w:val="007E7840"/>
    <w:rsid w:val="007F3815"/>
    <w:rsid w:val="007F445A"/>
    <w:rsid w:val="007F600E"/>
    <w:rsid w:val="007F713E"/>
    <w:rsid w:val="008058BE"/>
    <w:rsid w:val="008105FB"/>
    <w:rsid w:val="00811B3E"/>
    <w:rsid w:val="0081401A"/>
    <w:rsid w:val="0081744B"/>
    <w:rsid w:val="0081752A"/>
    <w:rsid w:val="00823D1A"/>
    <w:rsid w:val="00825ACA"/>
    <w:rsid w:val="008264E1"/>
    <w:rsid w:val="008319C8"/>
    <w:rsid w:val="00832F73"/>
    <w:rsid w:val="008338F2"/>
    <w:rsid w:val="0084211E"/>
    <w:rsid w:val="008422F3"/>
    <w:rsid w:val="00843A23"/>
    <w:rsid w:val="008440A3"/>
    <w:rsid w:val="00845B15"/>
    <w:rsid w:val="0085298C"/>
    <w:rsid w:val="00853B93"/>
    <w:rsid w:val="00860320"/>
    <w:rsid w:val="008637FC"/>
    <w:rsid w:val="008647D9"/>
    <w:rsid w:val="0086717B"/>
    <w:rsid w:val="008704AB"/>
    <w:rsid w:val="0087136E"/>
    <w:rsid w:val="00881D04"/>
    <w:rsid w:val="00884216"/>
    <w:rsid w:val="008855BA"/>
    <w:rsid w:val="00887B0D"/>
    <w:rsid w:val="00887DBC"/>
    <w:rsid w:val="00891CC1"/>
    <w:rsid w:val="008923CF"/>
    <w:rsid w:val="00893356"/>
    <w:rsid w:val="0089364A"/>
    <w:rsid w:val="00894A94"/>
    <w:rsid w:val="00895C44"/>
    <w:rsid w:val="00896A87"/>
    <w:rsid w:val="008A0166"/>
    <w:rsid w:val="008A1B8D"/>
    <w:rsid w:val="008A6489"/>
    <w:rsid w:val="008B4876"/>
    <w:rsid w:val="008B494B"/>
    <w:rsid w:val="008B60B5"/>
    <w:rsid w:val="008B6404"/>
    <w:rsid w:val="008B6DD8"/>
    <w:rsid w:val="008C1D93"/>
    <w:rsid w:val="008C4116"/>
    <w:rsid w:val="008D05E4"/>
    <w:rsid w:val="008E49E5"/>
    <w:rsid w:val="008E6FD5"/>
    <w:rsid w:val="008F10E4"/>
    <w:rsid w:val="008F2F4F"/>
    <w:rsid w:val="008F3EC0"/>
    <w:rsid w:val="00900429"/>
    <w:rsid w:val="00901290"/>
    <w:rsid w:val="00902248"/>
    <w:rsid w:val="00906925"/>
    <w:rsid w:val="0090776D"/>
    <w:rsid w:val="009116D9"/>
    <w:rsid w:val="009125AF"/>
    <w:rsid w:val="0092011B"/>
    <w:rsid w:val="0092120F"/>
    <w:rsid w:val="00923536"/>
    <w:rsid w:val="0092482D"/>
    <w:rsid w:val="00924F77"/>
    <w:rsid w:val="009251AA"/>
    <w:rsid w:val="00932165"/>
    <w:rsid w:val="009340FE"/>
    <w:rsid w:val="00934C72"/>
    <w:rsid w:val="009358C2"/>
    <w:rsid w:val="009378F4"/>
    <w:rsid w:val="00942B3A"/>
    <w:rsid w:val="00944238"/>
    <w:rsid w:val="00944BCF"/>
    <w:rsid w:val="00945974"/>
    <w:rsid w:val="009462E6"/>
    <w:rsid w:val="009504A6"/>
    <w:rsid w:val="00951391"/>
    <w:rsid w:val="0095366D"/>
    <w:rsid w:val="009544F2"/>
    <w:rsid w:val="00955394"/>
    <w:rsid w:val="009553DD"/>
    <w:rsid w:val="0096284D"/>
    <w:rsid w:val="0096578E"/>
    <w:rsid w:val="0096765D"/>
    <w:rsid w:val="009737A7"/>
    <w:rsid w:val="00974AA0"/>
    <w:rsid w:val="00975062"/>
    <w:rsid w:val="00976A3A"/>
    <w:rsid w:val="00984424"/>
    <w:rsid w:val="009875A0"/>
    <w:rsid w:val="0099132D"/>
    <w:rsid w:val="00995160"/>
    <w:rsid w:val="009A2EFB"/>
    <w:rsid w:val="009A3557"/>
    <w:rsid w:val="009A3788"/>
    <w:rsid w:val="009A4137"/>
    <w:rsid w:val="009B051D"/>
    <w:rsid w:val="009B26CC"/>
    <w:rsid w:val="009B3D4C"/>
    <w:rsid w:val="009B3F84"/>
    <w:rsid w:val="009B472D"/>
    <w:rsid w:val="009C22B9"/>
    <w:rsid w:val="009C2EA5"/>
    <w:rsid w:val="009D3777"/>
    <w:rsid w:val="009D47C0"/>
    <w:rsid w:val="009E014D"/>
    <w:rsid w:val="009E3DE7"/>
    <w:rsid w:val="009E652D"/>
    <w:rsid w:val="009E6FE4"/>
    <w:rsid w:val="009F198A"/>
    <w:rsid w:val="009F3AEF"/>
    <w:rsid w:val="00A01B47"/>
    <w:rsid w:val="00A052CA"/>
    <w:rsid w:val="00A05665"/>
    <w:rsid w:val="00A076BC"/>
    <w:rsid w:val="00A112DD"/>
    <w:rsid w:val="00A12BC2"/>
    <w:rsid w:val="00A1322A"/>
    <w:rsid w:val="00A1449E"/>
    <w:rsid w:val="00A146A1"/>
    <w:rsid w:val="00A16016"/>
    <w:rsid w:val="00A23254"/>
    <w:rsid w:val="00A2414E"/>
    <w:rsid w:val="00A30BA5"/>
    <w:rsid w:val="00A3128D"/>
    <w:rsid w:val="00A33B3D"/>
    <w:rsid w:val="00A365D0"/>
    <w:rsid w:val="00A42450"/>
    <w:rsid w:val="00A441EB"/>
    <w:rsid w:val="00A46085"/>
    <w:rsid w:val="00A470EC"/>
    <w:rsid w:val="00A47D03"/>
    <w:rsid w:val="00A47F34"/>
    <w:rsid w:val="00A51AB6"/>
    <w:rsid w:val="00A55952"/>
    <w:rsid w:val="00A56F50"/>
    <w:rsid w:val="00A6126E"/>
    <w:rsid w:val="00A634DA"/>
    <w:rsid w:val="00A66947"/>
    <w:rsid w:val="00A73A9B"/>
    <w:rsid w:val="00A76162"/>
    <w:rsid w:val="00A77784"/>
    <w:rsid w:val="00A8388F"/>
    <w:rsid w:val="00A86E33"/>
    <w:rsid w:val="00A87BAD"/>
    <w:rsid w:val="00A90DB6"/>
    <w:rsid w:val="00A94481"/>
    <w:rsid w:val="00A968C3"/>
    <w:rsid w:val="00A96EA9"/>
    <w:rsid w:val="00A97267"/>
    <w:rsid w:val="00A9726E"/>
    <w:rsid w:val="00AA0599"/>
    <w:rsid w:val="00AA0C26"/>
    <w:rsid w:val="00AA1AAF"/>
    <w:rsid w:val="00AB25D6"/>
    <w:rsid w:val="00AB286A"/>
    <w:rsid w:val="00AB299C"/>
    <w:rsid w:val="00AC0748"/>
    <w:rsid w:val="00AC3555"/>
    <w:rsid w:val="00AC4C7E"/>
    <w:rsid w:val="00AC65D4"/>
    <w:rsid w:val="00AC754A"/>
    <w:rsid w:val="00AD12C7"/>
    <w:rsid w:val="00AD62A6"/>
    <w:rsid w:val="00AD6464"/>
    <w:rsid w:val="00AD794C"/>
    <w:rsid w:val="00AE0073"/>
    <w:rsid w:val="00AE1FB2"/>
    <w:rsid w:val="00AE585E"/>
    <w:rsid w:val="00AF28F8"/>
    <w:rsid w:val="00AF6926"/>
    <w:rsid w:val="00B05C2D"/>
    <w:rsid w:val="00B0762C"/>
    <w:rsid w:val="00B100BA"/>
    <w:rsid w:val="00B11EF0"/>
    <w:rsid w:val="00B120B3"/>
    <w:rsid w:val="00B121FC"/>
    <w:rsid w:val="00B15EB1"/>
    <w:rsid w:val="00B16A30"/>
    <w:rsid w:val="00B245CD"/>
    <w:rsid w:val="00B252D8"/>
    <w:rsid w:val="00B352DD"/>
    <w:rsid w:val="00B412BD"/>
    <w:rsid w:val="00B44D05"/>
    <w:rsid w:val="00B47A59"/>
    <w:rsid w:val="00B519C7"/>
    <w:rsid w:val="00B554F6"/>
    <w:rsid w:val="00B55A41"/>
    <w:rsid w:val="00B56E0B"/>
    <w:rsid w:val="00B60536"/>
    <w:rsid w:val="00B63B82"/>
    <w:rsid w:val="00B649B4"/>
    <w:rsid w:val="00B66214"/>
    <w:rsid w:val="00B67F9E"/>
    <w:rsid w:val="00B73023"/>
    <w:rsid w:val="00B75A09"/>
    <w:rsid w:val="00B762C7"/>
    <w:rsid w:val="00B76895"/>
    <w:rsid w:val="00B77CDD"/>
    <w:rsid w:val="00B80712"/>
    <w:rsid w:val="00B81778"/>
    <w:rsid w:val="00B82348"/>
    <w:rsid w:val="00B838F6"/>
    <w:rsid w:val="00B856FF"/>
    <w:rsid w:val="00B903E4"/>
    <w:rsid w:val="00B91C55"/>
    <w:rsid w:val="00B95E2F"/>
    <w:rsid w:val="00B96C5E"/>
    <w:rsid w:val="00BA23BD"/>
    <w:rsid w:val="00BA509C"/>
    <w:rsid w:val="00BA5E72"/>
    <w:rsid w:val="00BA6F5F"/>
    <w:rsid w:val="00BA730A"/>
    <w:rsid w:val="00BB01FD"/>
    <w:rsid w:val="00BB054E"/>
    <w:rsid w:val="00BB1FFB"/>
    <w:rsid w:val="00BB45FB"/>
    <w:rsid w:val="00BB58FA"/>
    <w:rsid w:val="00BC2CE8"/>
    <w:rsid w:val="00BC4A52"/>
    <w:rsid w:val="00BC6247"/>
    <w:rsid w:val="00BC7666"/>
    <w:rsid w:val="00BC7A9F"/>
    <w:rsid w:val="00BD38D1"/>
    <w:rsid w:val="00BD38D7"/>
    <w:rsid w:val="00BD5BC6"/>
    <w:rsid w:val="00BE52EA"/>
    <w:rsid w:val="00BE6FC3"/>
    <w:rsid w:val="00BF0E83"/>
    <w:rsid w:val="00BF386C"/>
    <w:rsid w:val="00BF766F"/>
    <w:rsid w:val="00C01FEC"/>
    <w:rsid w:val="00C060CE"/>
    <w:rsid w:val="00C0646A"/>
    <w:rsid w:val="00C07E3E"/>
    <w:rsid w:val="00C10112"/>
    <w:rsid w:val="00C12F15"/>
    <w:rsid w:val="00C13522"/>
    <w:rsid w:val="00C136C7"/>
    <w:rsid w:val="00C1496F"/>
    <w:rsid w:val="00C15D0E"/>
    <w:rsid w:val="00C20577"/>
    <w:rsid w:val="00C20F9C"/>
    <w:rsid w:val="00C22E0D"/>
    <w:rsid w:val="00C2566C"/>
    <w:rsid w:val="00C262A7"/>
    <w:rsid w:val="00C307E6"/>
    <w:rsid w:val="00C318D6"/>
    <w:rsid w:val="00C34C6D"/>
    <w:rsid w:val="00C34E2F"/>
    <w:rsid w:val="00C34EAE"/>
    <w:rsid w:val="00C4081A"/>
    <w:rsid w:val="00C42B50"/>
    <w:rsid w:val="00C43EDE"/>
    <w:rsid w:val="00C4460F"/>
    <w:rsid w:val="00C516BE"/>
    <w:rsid w:val="00C54E6E"/>
    <w:rsid w:val="00C55DDF"/>
    <w:rsid w:val="00C57A69"/>
    <w:rsid w:val="00C620AA"/>
    <w:rsid w:val="00C67C65"/>
    <w:rsid w:val="00C73808"/>
    <w:rsid w:val="00C7739E"/>
    <w:rsid w:val="00C807CC"/>
    <w:rsid w:val="00C8438E"/>
    <w:rsid w:val="00C84537"/>
    <w:rsid w:val="00C847AB"/>
    <w:rsid w:val="00C90824"/>
    <w:rsid w:val="00C90C38"/>
    <w:rsid w:val="00C96089"/>
    <w:rsid w:val="00CA1BD6"/>
    <w:rsid w:val="00CA2F76"/>
    <w:rsid w:val="00CA333B"/>
    <w:rsid w:val="00CA3F11"/>
    <w:rsid w:val="00CA6C08"/>
    <w:rsid w:val="00CB1335"/>
    <w:rsid w:val="00CB1EAC"/>
    <w:rsid w:val="00CB374A"/>
    <w:rsid w:val="00CC0C84"/>
    <w:rsid w:val="00CC43F5"/>
    <w:rsid w:val="00CC6FF9"/>
    <w:rsid w:val="00CD1E64"/>
    <w:rsid w:val="00CD7F62"/>
    <w:rsid w:val="00CE24BD"/>
    <w:rsid w:val="00CE26E5"/>
    <w:rsid w:val="00CF15B3"/>
    <w:rsid w:val="00CF5861"/>
    <w:rsid w:val="00CF66EC"/>
    <w:rsid w:val="00D03DAE"/>
    <w:rsid w:val="00D078F0"/>
    <w:rsid w:val="00D07BCB"/>
    <w:rsid w:val="00D12348"/>
    <w:rsid w:val="00D13E29"/>
    <w:rsid w:val="00D14651"/>
    <w:rsid w:val="00D246A1"/>
    <w:rsid w:val="00D30C23"/>
    <w:rsid w:val="00D31659"/>
    <w:rsid w:val="00D31CCD"/>
    <w:rsid w:val="00D34628"/>
    <w:rsid w:val="00D35A69"/>
    <w:rsid w:val="00D371DC"/>
    <w:rsid w:val="00D37E4F"/>
    <w:rsid w:val="00D42CCA"/>
    <w:rsid w:val="00D42DF8"/>
    <w:rsid w:val="00D442EC"/>
    <w:rsid w:val="00D458F8"/>
    <w:rsid w:val="00D46E81"/>
    <w:rsid w:val="00D47338"/>
    <w:rsid w:val="00D477F0"/>
    <w:rsid w:val="00D51322"/>
    <w:rsid w:val="00D5319D"/>
    <w:rsid w:val="00D5505B"/>
    <w:rsid w:val="00D554A6"/>
    <w:rsid w:val="00D56AC2"/>
    <w:rsid w:val="00D56E9C"/>
    <w:rsid w:val="00D578A4"/>
    <w:rsid w:val="00D611E4"/>
    <w:rsid w:val="00D62436"/>
    <w:rsid w:val="00D635C7"/>
    <w:rsid w:val="00D66804"/>
    <w:rsid w:val="00D67C74"/>
    <w:rsid w:val="00D7153E"/>
    <w:rsid w:val="00D74421"/>
    <w:rsid w:val="00D75D90"/>
    <w:rsid w:val="00D82813"/>
    <w:rsid w:val="00D83D6A"/>
    <w:rsid w:val="00D85197"/>
    <w:rsid w:val="00D9132E"/>
    <w:rsid w:val="00D92054"/>
    <w:rsid w:val="00D93FBE"/>
    <w:rsid w:val="00D952A8"/>
    <w:rsid w:val="00D96076"/>
    <w:rsid w:val="00D977D3"/>
    <w:rsid w:val="00DA3FBE"/>
    <w:rsid w:val="00DA700C"/>
    <w:rsid w:val="00DB3AF0"/>
    <w:rsid w:val="00DC1838"/>
    <w:rsid w:val="00DC2478"/>
    <w:rsid w:val="00DC2A12"/>
    <w:rsid w:val="00DC3774"/>
    <w:rsid w:val="00DC46D2"/>
    <w:rsid w:val="00DD06AF"/>
    <w:rsid w:val="00DD679C"/>
    <w:rsid w:val="00DE19B7"/>
    <w:rsid w:val="00DE54E1"/>
    <w:rsid w:val="00DF0F94"/>
    <w:rsid w:val="00DF2D42"/>
    <w:rsid w:val="00DF526E"/>
    <w:rsid w:val="00DF607F"/>
    <w:rsid w:val="00E02DEB"/>
    <w:rsid w:val="00E049ED"/>
    <w:rsid w:val="00E061E6"/>
    <w:rsid w:val="00E067BB"/>
    <w:rsid w:val="00E06B4B"/>
    <w:rsid w:val="00E078B3"/>
    <w:rsid w:val="00E112CD"/>
    <w:rsid w:val="00E12890"/>
    <w:rsid w:val="00E13126"/>
    <w:rsid w:val="00E168C5"/>
    <w:rsid w:val="00E16927"/>
    <w:rsid w:val="00E16D1F"/>
    <w:rsid w:val="00E265A8"/>
    <w:rsid w:val="00E26F2F"/>
    <w:rsid w:val="00E31561"/>
    <w:rsid w:val="00E34350"/>
    <w:rsid w:val="00E35705"/>
    <w:rsid w:val="00E35B21"/>
    <w:rsid w:val="00E378A2"/>
    <w:rsid w:val="00E42615"/>
    <w:rsid w:val="00E447DF"/>
    <w:rsid w:val="00E4602D"/>
    <w:rsid w:val="00E46B80"/>
    <w:rsid w:val="00E4715D"/>
    <w:rsid w:val="00E47DEC"/>
    <w:rsid w:val="00E5002C"/>
    <w:rsid w:val="00E51984"/>
    <w:rsid w:val="00E522AD"/>
    <w:rsid w:val="00E537A2"/>
    <w:rsid w:val="00E56B23"/>
    <w:rsid w:val="00E570B3"/>
    <w:rsid w:val="00E635C3"/>
    <w:rsid w:val="00E646E0"/>
    <w:rsid w:val="00E66331"/>
    <w:rsid w:val="00E6694B"/>
    <w:rsid w:val="00E721E1"/>
    <w:rsid w:val="00E741D5"/>
    <w:rsid w:val="00E76135"/>
    <w:rsid w:val="00E76344"/>
    <w:rsid w:val="00E76AE0"/>
    <w:rsid w:val="00E76E04"/>
    <w:rsid w:val="00E779E0"/>
    <w:rsid w:val="00E80DF5"/>
    <w:rsid w:val="00E853D8"/>
    <w:rsid w:val="00E85D31"/>
    <w:rsid w:val="00E878AC"/>
    <w:rsid w:val="00E87923"/>
    <w:rsid w:val="00E903BF"/>
    <w:rsid w:val="00E9257D"/>
    <w:rsid w:val="00E93BC3"/>
    <w:rsid w:val="00E94204"/>
    <w:rsid w:val="00E95320"/>
    <w:rsid w:val="00E9614D"/>
    <w:rsid w:val="00E96E7F"/>
    <w:rsid w:val="00EA152F"/>
    <w:rsid w:val="00EA31EF"/>
    <w:rsid w:val="00EA713B"/>
    <w:rsid w:val="00EB5455"/>
    <w:rsid w:val="00EC3193"/>
    <w:rsid w:val="00EC6568"/>
    <w:rsid w:val="00EC760A"/>
    <w:rsid w:val="00ED0228"/>
    <w:rsid w:val="00ED1A3B"/>
    <w:rsid w:val="00ED220E"/>
    <w:rsid w:val="00EE1C32"/>
    <w:rsid w:val="00EE25DE"/>
    <w:rsid w:val="00EE437B"/>
    <w:rsid w:val="00EE4777"/>
    <w:rsid w:val="00EE6E07"/>
    <w:rsid w:val="00EF1F79"/>
    <w:rsid w:val="00EF2C2E"/>
    <w:rsid w:val="00EF3D53"/>
    <w:rsid w:val="00EF487C"/>
    <w:rsid w:val="00EF4B3F"/>
    <w:rsid w:val="00EF4B75"/>
    <w:rsid w:val="00EF71A3"/>
    <w:rsid w:val="00F012C8"/>
    <w:rsid w:val="00F01F43"/>
    <w:rsid w:val="00F0288B"/>
    <w:rsid w:val="00F037EA"/>
    <w:rsid w:val="00F03DC4"/>
    <w:rsid w:val="00F07016"/>
    <w:rsid w:val="00F07C98"/>
    <w:rsid w:val="00F07D92"/>
    <w:rsid w:val="00F07DF3"/>
    <w:rsid w:val="00F1009C"/>
    <w:rsid w:val="00F1025F"/>
    <w:rsid w:val="00F10AFC"/>
    <w:rsid w:val="00F10D19"/>
    <w:rsid w:val="00F110C4"/>
    <w:rsid w:val="00F121D5"/>
    <w:rsid w:val="00F14157"/>
    <w:rsid w:val="00F2057B"/>
    <w:rsid w:val="00F20934"/>
    <w:rsid w:val="00F22CD5"/>
    <w:rsid w:val="00F24FC2"/>
    <w:rsid w:val="00F3131C"/>
    <w:rsid w:val="00F32367"/>
    <w:rsid w:val="00F409BC"/>
    <w:rsid w:val="00F42589"/>
    <w:rsid w:val="00F45491"/>
    <w:rsid w:val="00F4718F"/>
    <w:rsid w:val="00F4754D"/>
    <w:rsid w:val="00F53AAD"/>
    <w:rsid w:val="00F55204"/>
    <w:rsid w:val="00F60C19"/>
    <w:rsid w:val="00F60E5B"/>
    <w:rsid w:val="00F74098"/>
    <w:rsid w:val="00F7717C"/>
    <w:rsid w:val="00F80F40"/>
    <w:rsid w:val="00F8152C"/>
    <w:rsid w:val="00F86CE6"/>
    <w:rsid w:val="00F86FD0"/>
    <w:rsid w:val="00F9232B"/>
    <w:rsid w:val="00F9428E"/>
    <w:rsid w:val="00FA069B"/>
    <w:rsid w:val="00FA425B"/>
    <w:rsid w:val="00FB5855"/>
    <w:rsid w:val="00FC454D"/>
    <w:rsid w:val="00FC7436"/>
    <w:rsid w:val="00FD0D8A"/>
    <w:rsid w:val="00FD3E85"/>
    <w:rsid w:val="00FD42D3"/>
    <w:rsid w:val="00FE083D"/>
    <w:rsid w:val="00FE1D1D"/>
    <w:rsid w:val="00FE72A3"/>
    <w:rsid w:val="00FF2C1E"/>
    <w:rsid w:val="00FF45D4"/>
    <w:rsid w:val="00FF46E5"/>
    <w:rsid w:val="00FF627C"/>
    <w:rsid w:val="01052A9C"/>
    <w:rsid w:val="01087199"/>
    <w:rsid w:val="0128771D"/>
    <w:rsid w:val="012B34F8"/>
    <w:rsid w:val="012E6DD3"/>
    <w:rsid w:val="01330262"/>
    <w:rsid w:val="013F3C99"/>
    <w:rsid w:val="014A7B40"/>
    <w:rsid w:val="014B4125"/>
    <w:rsid w:val="015A434F"/>
    <w:rsid w:val="015E1C5E"/>
    <w:rsid w:val="01652DA2"/>
    <w:rsid w:val="01655A3B"/>
    <w:rsid w:val="016D7D60"/>
    <w:rsid w:val="017068D5"/>
    <w:rsid w:val="0174218A"/>
    <w:rsid w:val="017859F7"/>
    <w:rsid w:val="017A3358"/>
    <w:rsid w:val="017F0884"/>
    <w:rsid w:val="01813D87"/>
    <w:rsid w:val="01831488"/>
    <w:rsid w:val="018C3EFE"/>
    <w:rsid w:val="019F5904"/>
    <w:rsid w:val="01A36304"/>
    <w:rsid w:val="01AC5B09"/>
    <w:rsid w:val="01C54D52"/>
    <w:rsid w:val="01CA6E4D"/>
    <w:rsid w:val="01E75D8C"/>
    <w:rsid w:val="01EA22E8"/>
    <w:rsid w:val="01F54E00"/>
    <w:rsid w:val="01FC1889"/>
    <w:rsid w:val="02063091"/>
    <w:rsid w:val="020D4902"/>
    <w:rsid w:val="0212251E"/>
    <w:rsid w:val="021951FF"/>
    <w:rsid w:val="02310559"/>
    <w:rsid w:val="024505A8"/>
    <w:rsid w:val="02461080"/>
    <w:rsid w:val="024C1C37"/>
    <w:rsid w:val="02514B4A"/>
    <w:rsid w:val="025322F4"/>
    <w:rsid w:val="02547558"/>
    <w:rsid w:val="025E0D5C"/>
    <w:rsid w:val="027577FA"/>
    <w:rsid w:val="02791378"/>
    <w:rsid w:val="028D0CF0"/>
    <w:rsid w:val="0294644C"/>
    <w:rsid w:val="029E0EA7"/>
    <w:rsid w:val="02A24738"/>
    <w:rsid w:val="02AB2D3F"/>
    <w:rsid w:val="02B80485"/>
    <w:rsid w:val="02B82C0C"/>
    <w:rsid w:val="02C27FB4"/>
    <w:rsid w:val="02C56566"/>
    <w:rsid w:val="02C8477B"/>
    <w:rsid w:val="02C91B84"/>
    <w:rsid w:val="02CB7483"/>
    <w:rsid w:val="02DB7020"/>
    <w:rsid w:val="02DC7358"/>
    <w:rsid w:val="02E81D55"/>
    <w:rsid w:val="02F87641"/>
    <w:rsid w:val="02FD7A8A"/>
    <w:rsid w:val="03002783"/>
    <w:rsid w:val="03027AB0"/>
    <w:rsid w:val="03071058"/>
    <w:rsid w:val="03074FFC"/>
    <w:rsid w:val="03163E1D"/>
    <w:rsid w:val="03335549"/>
    <w:rsid w:val="035C4E9C"/>
    <w:rsid w:val="036560EF"/>
    <w:rsid w:val="036F5DD3"/>
    <w:rsid w:val="0370274C"/>
    <w:rsid w:val="0378063E"/>
    <w:rsid w:val="037812E2"/>
    <w:rsid w:val="037B7A89"/>
    <w:rsid w:val="038141EE"/>
    <w:rsid w:val="03865B35"/>
    <w:rsid w:val="038D305D"/>
    <w:rsid w:val="038E2397"/>
    <w:rsid w:val="038F21E2"/>
    <w:rsid w:val="03960391"/>
    <w:rsid w:val="03972888"/>
    <w:rsid w:val="03B02E60"/>
    <w:rsid w:val="03B66C41"/>
    <w:rsid w:val="03C86FFD"/>
    <w:rsid w:val="03D815E6"/>
    <w:rsid w:val="03DA45D5"/>
    <w:rsid w:val="03DE69E2"/>
    <w:rsid w:val="03E77E32"/>
    <w:rsid w:val="03F07DB2"/>
    <w:rsid w:val="04133F00"/>
    <w:rsid w:val="041462BE"/>
    <w:rsid w:val="041A7D48"/>
    <w:rsid w:val="041B34CD"/>
    <w:rsid w:val="041C79E5"/>
    <w:rsid w:val="0421103E"/>
    <w:rsid w:val="04221985"/>
    <w:rsid w:val="0422479B"/>
    <w:rsid w:val="042648AA"/>
    <w:rsid w:val="04282FBC"/>
    <w:rsid w:val="04296264"/>
    <w:rsid w:val="042E1149"/>
    <w:rsid w:val="04392C7B"/>
    <w:rsid w:val="044F06A2"/>
    <w:rsid w:val="045E1BB5"/>
    <w:rsid w:val="04604012"/>
    <w:rsid w:val="04633BD9"/>
    <w:rsid w:val="04664A43"/>
    <w:rsid w:val="04670E56"/>
    <w:rsid w:val="0475289C"/>
    <w:rsid w:val="0479096B"/>
    <w:rsid w:val="047D163D"/>
    <w:rsid w:val="04805139"/>
    <w:rsid w:val="04854546"/>
    <w:rsid w:val="04930AEA"/>
    <w:rsid w:val="04957B11"/>
    <w:rsid w:val="049E3717"/>
    <w:rsid w:val="04A113A5"/>
    <w:rsid w:val="04BF4C12"/>
    <w:rsid w:val="04C32BDF"/>
    <w:rsid w:val="04C54CC1"/>
    <w:rsid w:val="04CB6616"/>
    <w:rsid w:val="04D15D8F"/>
    <w:rsid w:val="04D45DD8"/>
    <w:rsid w:val="04DC5D07"/>
    <w:rsid w:val="04E348EA"/>
    <w:rsid w:val="04F0022B"/>
    <w:rsid w:val="04F36D57"/>
    <w:rsid w:val="04F46B4B"/>
    <w:rsid w:val="04F741E7"/>
    <w:rsid w:val="05074941"/>
    <w:rsid w:val="0512295E"/>
    <w:rsid w:val="05213D3C"/>
    <w:rsid w:val="05257400"/>
    <w:rsid w:val="052A4601"/>
    <w:rsid w:val="052A6DC0"/>
    <w:rsid w:val="052D3A65"/>
    <w:rsid w:val="052F36E9"/>
    <w:rsid w:val="05444432"/>
    <w:rsid w:val="054F46BF"/>
    <w:rsid w:val="055A7458"/>
    <w:rsid w:val="05623644"/>
    <w:rsid w:val="056355E8"/>
    <w:rsid w:val="057316FE"/>
    <w:rsid w:val="057A05FD"/>
    <w:rsid w:val="05840873"/>
    <w:rsid w:val="05920CEE"/>
    <w:rsid w:val="05937A34"/>
    <w:rsid w:val="0597431C"/>
    <w:rsid w:val="05A60C53"/>
    <w:rsid w:val="05AD7B48"/>
    <w:rsid w:val="05B623B0"/>
    <w:rsid w:val="05B86B3C"/>
    <w:rsid w:val="05C43A86"/>
    <w:rsid w:val="05C44418"/>
    <w:rsid w:val="05C61687"/>
    <w:rsid w:val="05C858B5"/>
    <w:rsid w:val="05DF7761"/>
    <w:rsid w:val="0610531B"/>
    <w:rsid w:val="061A0A8C"/>
    <w:rsid w:val="06282B68"/>
    <w:rsid w:val="06356087"/>
    <w:rsid w:val="063F6859"/>
    <w:rsid w:val="065C4755"/>
    <w:rsid w:val="065F4FF9"/>
    <w:rsid w:val="06686C51"/>
    <w:rsid w:val="066F039E"/>
    <w:rsid w:val="0682513E"/>
    <w:rsid w:val="068C21CA"/>
    <w:rsid w:val="069106DC"/>
    <w:rsid w:val="069C2FD4"/>
    <w:rsid w:val="069D7EE6"/>
    <w:rsid w:val="06BB7496"/>
    <w:rsid w:val="06BD60E2"/>
    <w:rsid w:val="06C226A4"/>
    <w:rsid w:val="06CF6769"/>
    <w:rsid w:val="06D14EBD"/>
    <w:rsid w:val="06D2570E"/>
    <w:rsid w:val="06D26281"/>
    <w:rsid w:val="06D4428C"/>
    <w:rsid w:val="06EC6D6C"/>
    <w:rsid w:val="06EE5CAF"/>
    <w:rsid w:val="07034594"/>
    <w:rsid w:val="070567EB"/>
    <w:rsid w:val="070726B7"/>
    <w:rsid w:val="070E41F5"/>
    <w:rsid w:val="070F554B"/>
    <w:rsid w:val="07146C2B"/>
    <w:rsid w:val="071473D2"/>
    <w:rsid w:val="07194FE4"/>
    <w:rsid w:val="07256B46"/>
    <w:rsid w:val="072E4F0F"/>
    <w:rsid w:val="073152D4"/>
    <w:rsid w:val="073F116E"/>
    <w:rsid w:val="07442F91"/>
    <w:rsid w:val="074C1CAE"/>
    <w:rsid w:val="07666959"/>
    <w:rsid w:val="076731FA"/>
    <w:rsid w:val="07716FC5"/>
    <w:rsid w:val="078441EC"/>
    <w:rsid w:val="07891F9B"/>
    <w:rsid w:val="078A1664"/>
    <w:rsid w:val="07987439"/>
    <w:rsid w:val="079F4A08"/>
    <w:rsid w:val="07A17CC9"/>
    <w:rsid w:val="07B34434"/>
    <w:rsid w:val="07B4381C"/>
    <w:rsid w:val="07B7460D"/>
    <w:rsid w:val="07B86033"/>
    <w:rsid w:val="07BD50F2"/>
    <w:rsid w:val="07BD6D40"/>
    <w:rsid w:val="07BE6F3D"/>
    <w:rsid w:val="07BF1D14"/>
    <w:rsid w:val="07C351C1"/>
    <w:rsid w:val="07C94CB4"/>
    <w:rsid w:val="07CD561C"/>
    <w:rsid w:val="07D850AB"/>
    <w:rsid w:val="07E06245"/>
    <w:rsid w:val="07E2099D"/>
    <w:rsid w:val="07EB6ACF"/>
    <w:rsid w:val="07F15CAA"/>
    <w:rsid w:val="080C1556"/>
    <w:rsid w:val="080F137E"/>
    <w:rsid w:val="0819406F"/>
    <w:rsid w:val="081E7519"/>
    <w:rsid w:val="08226DE9"/>
    <w:rsid w:val="082C6062"/>
    <w:rsid w:val="083E14F4"/>
    <w:rsid w:val="084B5FDD"/>
    <w:rsid w:val="08600B06"/>
    <w:rsid w:val="087064BC"/>
    <w:rsid w:val="087B2564"/>
    <w:rsid w:val="089328A5"/>
    <w:rsid w:val="08984829"/>
    <w:rsid w:val="089C31F3"/>
    <w:rsid w:val="08AB7B42"/>
    <w:rsid w:val="08AE2157"/>
    <w:rsid w:val="08C77C59"/>
    <w:rsid w:val="08D114A6"/>
    <w:rsid w:val="08D116E0"/>
    <w:rsid w:val="08E06A71"/>
    <w:rsid w:val="08EC42B3"/>
    <w:rsid w:val="08EF0E58"/>
    <w:rsid w:val="08F418A1"/>
    <w:rsid w:val="08F70269"/>
    <w:rsid w:val="08FC1BD4"/>
    <w:rsid w:val="09013B77"/>
    <w:rsid w:val="0909090D"/>
    <w:rsid w:val="0912724C"/>
    <w:rsid w:val="0918494A"/>
    <w:rsid w:val="091D2424"/>
    <w:rsid w:val="092E4975"/>
    <w:rsid w:val="092E577B"/>
    <w:rsid w:val="09314230"/>
    <w:rsid w:val="093D1883"/>
    <w:rsid w:val="094439CE"/>
    <w:rsid w:val="094B4B55"/>
    <w:rsid w:val="09556E91"/>
    <w:rsid w:val="09573962"/>
    <w:rsid w:val="095A3CB3"/>
    <w:rsid w:val="096A341E"/>
    <w:rsid w:val="096F1FC2"/>
    <w:rsid w:val="09750994"/>
    <w:rsid w:val="09801D99"/>
    <w:rsid w:val="098067E2"/>
    <w:rsid w:val="09A0048F"/>
    <w:rsid w:val="09A104E6"/>
    <w:rsid w:val="09A32C64"/>
    <w:rsid w:val="09B713FD"/>
    <w:rsid w:val="09BE6084"/>
    <w:rsid w:val="09C91F0D"/>
    <w:rsid w:val="09D83AA7"/>
    <w:rsid w:val="09DB1AD9"/>
    <w:rsid w:val="09E4024D"/>
    <w:rsid w:val="09E935F1"/>
    <w:rsid w:val="09EB757A"/>
    <w:rsid w:val="09ED3AD6"/>
    <w:rsid w:val="09FE5B9F"/>
    <w:rsid w:val="0A0A70D6"/>
    <w:rsid w:val="0A0D7779"/>
    <w:rsid w:val="0A104B2C"/>
    <w:rsid w:val="0A167776"/>
    <w:rsid w:val="0A2F127B"/>
    <w:rsid w:val="0A3411D4"/>
    <w:rsid w:val="0A364CFC"/>
    <w:rsid w:val="0A3B3529"/>
    <w:rsid w:val="0A3E03DD"/>
    <w:rsid w:val="0A4444E4"/>
    <w:rsid w:val="0A4A78AA"/>
    <w:rsid w:val="0A5023C1"/>
    <w:rsid w:val="0A595E21"/>
    <w:rsid w:val="0A6347B4"/>
    <w:rsid w:val="0A6F00B5"/>
    <w:rsid w:val="0A734BEA"/>
    <w:rsid w:val="0A735814"/>
    <w:rsid w:val="0A7C42DA"/>
    <w:rsid w:val="0A8B0EE2"/>
    <w:rsid w:val="0A8E6A45"/>
    <w:rsid w:val="0A9654C2"/>
    <w:rsid w:val="0A99307E"/>
    <w:rsid w:val="0A9C19B2"/>
    <w:rsid w:val="0AA43555"/>
    <w:rsid w:val="0AB469E2"/>
    <w:rsid w:val="0AB70B6C"/>
    <w:rsid w:val="0ABE116E"/>
    <w:rsid w:val="0AC972B0"/>
    <w:rsid w:val="0AD33CAE"/>
    <w:rsid w:val="0AE938E0"/>
    <w:rsid w:val="0AF262F6"/>
    <w:rsid w:val="0AF85FD8"/>
    <w:rsid w:val="0AF93665"/>
    <w:rsid w:val="0B01011B"/>
    <w:rsid w:val="0B0B0A2A"/>
    <w:rsid w:val="0B0B70B2"/>
    <w:rsid w:val="0B1F4381"/>
    <w:rsid w:val="0B373326"/>
    <w:rsid w:val="0B39620B"/>
    <w:rsid w:val="0B4209C3"/>
    <w:rsid w:val="0B505750"/>
    <w:rsid w:val="0B575625"/>
    <w:rsid w:val="0B595474"/>
    <w:rsid w:val="0B614488"/>
    <w:rsid w:val="0B703A81"/>
    <w:rsid w:val="0B771F5A"/>
    <w:rsid w:val="0B8912F8"/>
    <w:rsid w:val="0B8E657F"/>
    <w:rsid w:val="0B8E72BD"/>
    <w:rsid w:val="0B942971"/>
    <w:rsid w:val="0B9A35DD"/>
    <w:rsid w:val="0BA66DB7"/>
    <w:rsid w:val="0BAD0AEF"/>
    <w:rsid w:val="0BB05758"/>
    <w:rsid w:val="0BB124BD"/>
    <w:rsid w:val="0BB504A5"/>
    <w:rsid w:val="0BB909C1"/>
    <w:rsid w:val="0BBB689F"/>
    <w:rsid w:val="0BBC2082"/>
    <w:rsid w:val="0BC14CD6"/>
    <w:rsid w:val="0BCE733C"/>
    <w:rsid w:val="0BD3106B"/>
    <w:rsid w:val="0BD64DFD"/>
    <w:rsid w:val="0BDA7074"/>
    <w:rsid w:val="0BDC4A6A"/>
    <w:rsid w:val="0BE23FD0"/>
    <w:rsid w:val="0BF769DE"/>
    <w:rsid w:val="0BFA62CB"/>
    <w:rsid w:val="0C0A4216"/>
    <w:rsid w:val="0C0B0638"/>
    <w:rsid w:val="0C101676"/>
    <w:rsid w:val="0C1A7C93"/>
    <w:rsid w:val="0C2C4385"/>
    <w:rsid w:val="0C4638A9"/>
    <w:rsid w:val="0C4733C6"/>
    <w:rsid w:val="0C587175"/>
    <w:rsid w:val="0C5D5999"/>
    <w:rsid w:val="0C6F2DB4"/>
    <w:rsid w:val="0C773740"/>
    <w:rsid w:val="0C850E5C"/>
    <w:rsid w:val="0C8902FE"/>
    <w:rsid w:val="0C9718BB"/>
    <w:rsid w:val="0CA52C18"/>
    <w:rsid w:val="0CB06B5C"/>
    <w:rsid w:val="0CB664E7"/>
    <w:rsid w:val="0CE67036"/>
    <w:rsid w:val="0CF82189"/>
    <w:rsid w:val="0CFE2F87"/>
    <w:rsid w:val="0D033F74"/>
    <w:rsid w:val="0D0626DE"/>
    <w:rsid w:val="0D0918C8"/>
    <w:rsid w:val="0D0B419C"/>
    <w:rsid w:val="0D1451D8"/>
    <w:rsid w:val="0D1C637C"/>
    <w:rsid w:val="0D1E6DC3"/>
    <w:rsid w:val="0D22210D"/>
    <w:rsid w:val="0D2D0744"/>
    <w:rsid w:val="0D382866"/>
    <w:rsid w:val="0D556E34"/>
    <w:rsid w:val="0D5A77F6"/>
    <w:rsid w:val="0D5E4B45"/>
    <w:rsid w:val="0D631BDF"/>
    <w:rsid w:val="0D681B8E"/>
    <w:rsid w:val="0D6A2F3C"/>
    <w:rsid w:val="0D6B13B3"/>
    <w:rsid w:val="0D6E6F89"/>
    <w:rsid w:val="0D7311C8"/>
    <w:rsid w:val="0D73211D"/>
    <w:rsid w:val="0D750EA4"/>
    <w:rsid w:val="0D7C1186"/>
    <w:rsid w:val="0D83640A"/>
    <w:rsid w:val="0D8C6A42"/>
    <w:rsid w:val="0D8F0A69"/>
    <w:rsid w:val="0D9C3763"/>
    <w:rsid w:val="0D9E06A5"/>
    <w:rsid w:val="0D9E1251"/>
    <w:rsid w:val="0DA76009"/>
    <w:rsid w:val="0DAD6F7F"/>
    <w:rsid w:val="0DBB6130"/>
    <w:rsid w:val="0DBE1CB4"/>
    <w:rsid w:val="0DBF529C"/>
    <w:rsid w:val="0DC35C0C"/>
    <w:rsid w:val="0DCA5501"/>
    <w:rsid w:val="0DCA6A00"/>
    <w:rsid w:val="0DCE3791"/>
    <w:rsid w:val="0DD77C44"/>
    <w:rsid w:val="0DE976E3"/>
    <w:rsid w:val="0DEF4512"/>
    <w:rsid w:val="0E0513C5"/>
    <w:rsid w:val="0E110396"/>
    <w:rsid w:val="0E110D22"/>
    <w:rsid w:val="0E1A444E"/>
    <w:rsid w:val="0E1D2405"/>
    <w:rsid w:val="0E282D72"/>
    <w:rsid w:val="0E2A3E4A"/>
    <w:rsid w:val="0E3F0DE2"/>
    <w:rsid w:val="0E4D58F2"/>
    <w:rsid w:val="0E503A47"/>
    <w:rsid w:val="0E550761"/>
    <w:rsid w:val="0E6524C5"/>
    <w:rsid w:val="0E811460"/>
    <w:rsid w:val="0E814F61"/>
    <w:rsid w:val="0E842847"/>
    <w:rsid w:val="0E8D36FA"/>
    <w:rsid w:val="0E994721"/>
    <w:rsid w:val="0E9C4859"/>
    <w:rsid w:val="0EA93939"/>
    <w:rsid w:val="0EB03685"/>
    <w:rsid w:val="0ECB0DE8"/>
    <w:rsid w:val="0ED17B3E"/>
    <w:rsid w:val="0EE037AB"/>
    <w:rsid w:val="0EE10E3C"/>
    <w:rsid w:val="0EEB06AE"/>
    <w:rsid w:val="0EF20ED4"/>
    <w:rsid w:val="0F013EAE"/>
    <w:rsid w:val="0F030F51"/>
    <w:rsid w:val="0F13301F"/>
    <w:rsid w:val="0F2E143C"/>
    <w:rsid w:val="0F40585A"/>
    <w:rsid w:val="0F414638"/>
    <w:rsid w:val="0F4B1C67"/>
    <w:rsid w:val="0F4D3C20"/>
    <w:rsid w:val="0F646AB8"/>
    <w:rsid w:val="0F663BD2"/>
    <w:rsid w:val="0F6F0C5E"/>
    <w:rsid w:val="0F720D13"/>
    <w:rsid w:val="0F747E3D"/>
    <w:rsid w:val="0F760A6F"/>
    <w:rsid w:val="0F937D37"/>
    <w:rsid w:val="0F970D6C"/>
    <w:rsid w:val="0F9C0259"/>
    <w:rsid w:val="0F9D3D2C"/>
    <w:rsid w:val="0FA1277A"/>
    <w:rsid w:val="0FA450D4"/>
    <w:rsid w:val="0FC6776A"/>
    <w:rsid w:val="0FC76AC3"/>
    <w:rsid w:val="0FCC1CB2"/>
    <w:rsid w:val="0FD725AB"/>
    <w:rsid w:val="0FD971DD"/>
    <w:rsid w:val="0FDB6C66"/>
    <w:rsid w:val="0FDE7A68"/>
    <w:rsid w:val="0FF100B0"/>
    <w:rsid w:val="0FF97445"/>
    <w:rsid w:val="0FFA2537"/>
    <w:rsid w:val="0FFD24CF"/>
    <w:rsid w:val="1004223B"/>
    <w:rsid w:val="1014226A"/>
    <w:rsid w:val="10174160"/>
    <w:rsid w:val="101E02B6"/>
    <w:rsid w:val="10246296"/>
    <w:rsid w:val="102D513F"/>
    <w:rsid w:val="10325558"/>
    <w:rsid w:val="103A0F84"/>
    <w:rsid w:val="10425AEC"/>
    <w:rsid w:val="1043088E"/>
    <w:rsid w:val="105119A7"/>
    <w:rsid w:val="105318CE"/>
    <w:rsid w:val="105A283D"/>
    <w:rsid w:val="106A19AD"/>
    <w:rsid w:val="106A3D83"/>
    <w:rsid w:val="10744478"/>
    <w:rsid w:val="107A5C99"/>
    <w:rsid w:val="108F7730"/>
    <w:rsid w:val="10930DC1"/>
    <w:rsid w:val="10934453"/>
    <w:rsid w:val="109448AB"/>
    <w:rsid w:val="10990A2F"/>
    <w:rsid w:val="10A04205"/>
    <w:rsid w:val="10A433C1"/>
    <w:rsid w:val="10A7106D"/>
    <w:rsid w:val="10B23651"/>
    <w:rsid w:val="10B94BE2"/>
    <w:rsid w:val="10BF1885"/>
    <w:rsid w:val="10E53199"/>
    <w:rsid w:val="10E661DE"/>
    <w:rsid w:val="10ED7244"/>
    <w:rsid w:val="10F221DD"/>
    <w:rsid w:val="10F93FE9"/>
    <w:rsid w:val="110B78D6"/>
    <w:rsid w:val="11285E33"/>
    <w:rsid w:val="11286BDF"/>
    <w:rsid w:val="113E728E"/>
    <w:rsid w:val="1145778D"/>
    <w:rsid w:val="11492D2D"/>
    <w:rsid w:val="11500CB6"/>
    <w:rsid w:val="11531E98"/>
    <w:rsid w:val="11725BAB"/>
    <w:rsid w:val="11776DDB"/>
    <w:rsid w:val="11827107"/>
    <w:rsid w:val="11866124"/>
    <w:rsid w:val="11954F50"/>
    <w:rsid w:val="119F1D74"/>
    <w:rsid w:val="11A5705F"/>
    <w:rsid w:val="11B46032"/>
    <w:rsid w:val="11B87BD8"/>
    <w:rsid w:val="11B90BA4"/>
    <w:rsid w:val="11CA0F69"/>
    <w:rsid w:val="11CE0F90"/>
    <w:rsid w:val="11E91F16"/>
    <w:rsid w:val="12010F98"/>
    <w:rsid w:val="120113B0"/>
    <w:rsid w:val="12170E43"/>
    <w:rsid w:val="12252451"/>
    <w:rsid w:val="12400A47"/>
    <w:rsid w:val="12482DEB"/>
    <w:rsid w:val="1249232E"/>
    <w:rsid w:val="125D0675"/>
    <w:rsid w:val="126F5AD2"/>
    <w:rsid w:val="127C597F"/>
    <w:rsid w:val="12845E2C"/>
    <w:rsid w:val="128572C3"/>
    <w:rsid w:val="12887BC1"/>
    <w:rsid w:val="12A4135E"/>
    <w:rsid w:val="12A606EF"/>
    <w:rsid w:val="12A732B4"/>
    <w:rsid w:val="12AA3F39"/>
    <w:rsid w:val="12B95430"/>
    <w:rsid w:val="12BB18C8"/>
    <w:rsid w:val="12C006B5"/>
    <w:rsid w:val="12C10DA2"/>
    <w:rsid w:val="12C168BD"/>
    <w:rsid w:val="12C853D8"/>
    <w:rsid w:val="12CC72E2"/>
    <w:rsid w:val="12E52881"/>
    <w:rsid w:val="12E60762"/>
    <w:rsid w:val="13101155"/>
    <w:rsid w:val="131616EB"/>
    <w:rsid w:val="13233309"/>
    <w:rsid w:val="132D17C7"/>
    <w:rsid w:val="132D39B2"/>
    <w:rsid w:val="1330168A"/>
    <w:rsid w:val="13467125"/>
    <w:rsid w:val="134919F5"/>
    <w:rsid w:val="134A1A95"/>
    <w:rsid w:val="134A56FD"/>
    <w:rsid w:val="134F1F3F"/>
    <w:rsid w:val="135350C1"/>
    <w:rsid w:val="13552090"/>
    <w:rsid w:val="135A7520"/>
    <w:rsid w:val="1365189F"/>
    <w:rsid w:val="136549AC"/>
    <w:rsid w:val="13755653"/>
    <w:rsid w:val="137B209A"/>
    <w:rsid w:val="137D7145"/>
    <w:rsid w:val="1386578B"/>
    <w:rsid w:val="13873838"/>
    <w:rsid w:val="138B0646"/>
    <w:rsid w:val="13C84019"/>
    <w:rsid w:val="13D14F44"/>
    <w:rsid w:val="13D30E93"/>
    <w:rsid w:val="13D53C8E"/>
    <w:rsid w:val="13D57069"/>
    <w:rsid w:val="13D81587"/>
    <w:rsid w:val="13DE2A46"/>
    <w:rsid w:val="13E75935"/>
    <w:rsid w:val="13F25A39"/>
    <w:rsid w:val="13FC17AD"/>
    <w:rsid w:val="13FD673B"/>
    <w:rsid w:val="1409136D"/>
    <w:rsid w:val="140A0D3E"/>
    <w:rsid w:val="140D3C34"/>
    <w:rsid w:val="140E140B"/>
    <w:rsid w:val="141808E8"/>
    <w:rsid w:val="14183F04"/>
    <w:rsid w:val="141B4CC9"/>
    <w:rsid w:val="1425541A"/>
    <w:rsid w:val="142612CD"/>
    <w:rsid w:val="143846BC"/>
    <w:rsid w:val="14385EE1"/>
    <w:rsid w:val="14465CF2"/>
    <w:rsid w:val="146124CB"/>
    <w:rsid w:val="14664D4F"/>
    <w:rsid w:val="14732AB0"/>
    <w:rsid w:val="14735F47"/>
    <w:rsid w:val="14761A52"/>
    <w:rsid w:val="148F7ECC"/>
    <w:rsid w:val="149155CA"/>
    <w:rsid w:val="149D550A"/>
    <w:rsid w:val="14AE6958"/>
    <w:rsid w:val="14AF1854"/>
    <w:rsid w:val="14C31CD2"/>
    <w:rsid w:val="14DA122A"/>
    <w:rsid w:val="14DC19F3"/>
    <w:rsid w:val="14DD65BE"/>
    <w:rsid w:val="14DF6ACD"/>
    <w:rsid w:val="14E05B4D"/>
    <w:rsid w:val="14E47DD6"/>
    <w:rsid w:val="14E77379"/>
    <w:rsid w:val="14EC4F17"/>
    <w:rsid w:val="14FF1719"/>
    <w:rsid w:val="150118F5"/>
    <w:rsid w:val="15021362"/>
    <w:rsid w:val="152C06F4"/>
    <w:rsid w:val="153775C5"/>
    <w:rsid w:val="15383FDD"/>
    <w:rsid w:val="154C2465"/>
    <w:rsid w:val="15542C9F"/>
    <w:rsid w:val="157267F9"/>
    <w:rsid w:val="15894F10"/>
    <w:rsid w:val="15910D61"/>
    <w:rsid w:val="15A13AE1"/>
    <w:rsid w:val="15A348BA"/>
    <w:rsid w:val="15B571FD"/>
    <w:rsid w:val="15B6012F"/>
    <w:rsid w:val="15C261A9"/>
    <w:rsid w:val="15C54914"/>
    <w:rsid w:val="15D363DA"/>
    <w:rsid w:val="15D65E51"/>
    <w:rsid w:val="15EB57B8"/>
    <w:rsid w:val="15F133A5"/>
    <w:rsid w:val="15FD5FE6"/>
    <w:rsid w:val="16074900"/>
    <w:rsid w:val="160D66BF"/>
    <w:rsid w:val="16183903"/>
    <w:rsid w:val="161F42DB"/>
    <w:rsid w:val="16286CD2"/>
    <w:rsid w:val="1628713A"/>
    <w:rsid w:val="163E2E43"/>
    <w:rsid w:val="163F2A88"/>
    <w:rsid w:val="164F2464"/>
    <w:rsid w:val="16501227"/>
    <w:rsid w:val="166E4C11"/>
    <w:rsid w:val="167B3370"/>
    <w:rsid w:val="168C4950"/>
    <w:rsid w:val="168D7A9A"/>
    <w:rsid w:val="16A00BD2"/>
    <w:rsid w:val="16A1070A"/>
    <w:rsid w:val="16C64B5B"/>
    <w:rsid w:val="16C76F80"/>
    <w:rsid w:val="16D114C6"/>
    <w:rsid w:val="16D269F5"/>
    <w:rsid w:val="16E13F77"/>
    <w:rsid w:val="16F37C37"/>
    <w:rsid w:val="16F455B8"/>
    <w:rsid w:val="16F644D8"/>
    <w:rsid w:val="16FF7315"/>
    <w:rsid w:val="17004171"/>
    <w:rsid w:val="17006B23"/>
    <w:rsid w:val="170402D9"/>
    <w:rsid w:val="17085202"/>
    <w:rsid w:val="170F067E"/>
    <w:rsid w:val="17151613"/>
    <w:rsid w:val="17163341"/>
    <w:rsid w:val="171D5B31"/>
    <w:rsid w:val="171E5045"/>
    <w:rsid w:val="17214195"/>
    <w:rsid w:val="1725236C"/>
    <w:rsid w:val="17254728"/>
    <w:rsid w:val="173D676C"/>
    <w:rsid w:val="174A3918"/>
    <w:rsid w:val="174D798F"/>
    <w:rsid w:val="17502F24"/>
    <w:rsid w:val="17541E01"/>
    <w:rsid w:val="176856DF"/>
    <w:rsid w:val="17697775"/>
    <w:rsid w:val="177034CF"/>
    <w:rsid w:val="17715EF0"/>
    <w:rsid w:val="17754971"/>
    <w:rsid w:val="17817F68"/>
    <w:rsid w:val="178479A3"/>
    <w:rsid w:val="178914DB"/>
    <w:rsid w:val="179802C4"/>
    <w:rsid w:val="17AB1394"/>
    <w:rsid w:val="17AD27E8"/>
    <w:rsid w:val="17AF25C7"/>
    <w:rsid w:val="17B4383A"/>
    <w:rsid w:val="17B632A7"/>
    <w:rsid w:val="17B84E49"/>
    <w:rsid w:val="17C23687"/>
    <w:rsid w:val="17C46B8A"/>
    <w:rsid w:val="17C8313D"/>
    <w:rsid w:val="17C96895"/>
    <w:rsid w:val="17CA0CCF"/>
    <w:rsid w:val="17CA4604"/>
    <w:rsid w:val="17D50129"/>
    <w:rsid w:val="17D76C1D"/>
    <w:rsid w:val="17D77B84"/>
    <w:rsid w:val="17E3743F"/>
    <w:rsid w:val="17ED238F"/>
    <w:rsid w:val="17EE5674"/>
    <w:rsid w:val="17EE6F56"/>
    <w:rsid w:val="17F02D71"/>
    <w:rsid w:val="17F046AB"/>
    <w:rsid w:val="17F344D2"/>
    <w:rsid w:val="17F541FF"/>
    <w:rsid w:val="17FB1A5A"/>
    <w:rsid w:val="180048B7"/>
    <w:rsid w:val="18036DEC"/>
    <w:rsid w:val="1803724B"/>
    <w:rsid w:val="18076077"/>
    <w:rsid w:val="18120259"/>
    <w:rsid w:val="1816195D"/>
    <w:rsid w:val="181D33F8"/>
    <w:rsid w:val="18235450"/>
    <w:rsid w:val="18326D58"/>
    <w:rsid w:val="183B3C7E"/>
    <w:rsid w:val="183B5FF1"/>
    <w:rsid w:val="184119D7"/>
    <w:rsid w:val="18421346"/>
    <w:rsid w:val="18463EC0"/>
    <w:rsid w:val="184836B8"/>
    <w:rsid w:val="184F208B"/>
    <w:rsid w:val="185B0F53"/>
    <w:rsid w:val="186564FB"/>
    <w:rsid w:val="186678C9"/>
    <w:rsid w:val="186961EC"/>
    <w:rsid w:val="18715F44"/>
    <w:rsid w:val="1883222D"/>
    <w:rsid w:val="188C1F19"/>
    <w:rsid w:val="189C3A9E"/>
    <w:rsid w:val="189C4EE9"/>
    <w:rsid w:val="18A129B1"/>
    <w:rsid w:val="18A67D44"/>
    <w:rsid w:val="18AB5DA1"/>
    <w:rsid w:val="18AE5D80"/>
    <w:rsid w:val="18B05A13"/>
    <w:rsid w:val="18BE4E8F"/>
    <w:rsid w:val="18C162FA"/>
    <w:rsid w:val="18C17A30"/>
    <w:rsid w:val="18CC4C37"/>
    <w:rsid w:val="18DD3683"/>
    <w:rsid w:val="18E15979"/>
    <w:rsid w:val="18E20A1B"/>
    <w:rsid w:val="18E77648"/>
    <w:rsid w:val="18EF6677"/>
    <w:rsid w:val="18FA248A"/>
    <w:rsid w:val="18FB783D"/>
    <w:rsid w:val="18FC7351"/>
    <w:rsid w:val="19015632"/>
    <w:rsid w:val="19052A19"/>
    <w:rsid w:val="190E188A"/>
    <w:rsid w:val="19154B82"/>
    <w:rsid w:val="191F13C5"/>
    <w:rsid w:val="19261BD9"/>
    <w:rsid w:val="1926284A"/>
    <w:rsid w:val="192C06DB"/>
    <w:rsid w:val="1939519A"/>
    <w:rsid w:val="19413E28"/>
    <w:rsid w:val="19445429"/>
    <w:rsid w:val="195B37A8"/>
    <w:rsid w:val="19620BB5"/>
    <w:rsid w:val="197470C1"/>
    <w:rsid w:val="19812EA4"/>
    <w:rsid w:val="19821A0D"/>
    <w:rsid w:val="19833120"/>
    <w:rsid w:val="199008E8"/>
    <w:rsid w:val="19A93527"/>
    <w:rsid w:val="19B141B7"/>
    <w:rsid w:val="19B95D40"/>
    <w:rsid w:val="19BF1E0A"/>
    <w:rsid w:val="19D70B73"/>
    <w:rsid w:val="19DC61E1"/>
    <w:rsid w:val="19EA650F"/>
    <w:rsid w:val="19F50C37"/>
    <w:rsid w:val="1A045F89"/>
    <w:rsid w:val="1A097CE8"/>
    <w:rsid w:val="1A102A33"/>
    <w:rsid w:val="1A1429EF"/>
    <w:rsid w:val="1A1E1A9D"/>
    <w:rsid w:val="1A1E67E9"/>
    <w:rsid w:val="1A2A12DF"/>
    <w:rsid w:val="1A2D13BA"/>
    <w:rsid w:val="1A2F7C80"/>
    <w:rsid w:val="1A3E38D0"/>
    <w:rsid w:val="1A495D54"/>
    <w:rsid w:val="1A4C2D31"/>
    <w:rsid w:val="1A4E6EDC"/>
    <w:rsid w:val="1A504FBA"/>
    <w:rsid w:val="1A5A03B6"/>
    <w:rsid w:val="1A6C5F22"/>
    <w:rsid w:val="1A8D1BCD"/>
    <w:rsid w:val="1A9465FB"/>
    <w:rsid w:val="1A96188C"/>
    <w:rsid w:val="1A966B1D"/>
    <w:rsid w:val="1A9E58EA"/>
    <w:rsid w:val="1A9F5E23"/>
    <w:rsid w:val="1AAF2331"/>
    <w:rsid w:val="1AD64F9B"/>
    <w:rsid w:val="1AE51920"/>
    <w:rsid w:val="1AEB6FD1"/>
    <w:rsid w:val="1AEE30A6"/>
    <w:rsid w:val="1AF375BC"/>
    <w:rsid w:val="1AF37A97"/>
    <w:rsid w:val="1AF8751F"/>
    <w:rsid w:val="1B01155A"/>
    <w:rsid w:val="1B0C5D87"/>
    <w:rsid w:val="1B106AFC"/>
    <w:rsid w:val="1B14248C"/>
    <w:rsid w:val="1B15097E"/>
    <w:rsid w:val="1B2311F0"/>
    <w:rsid w:val="1B2E46C1"/>
    <w:rsid w:val="1B461853"/>
    <w:rsid w:val="1B4A1B20"/>
    <w:rsid w:val="1B55024C"/>
    <w:rsid w:val="1B5D63F1"/>
    <w:rsid w:val="1B605EB1"/>
    <w:rsid w:val="1B6C2862"/>
    <w:rsid w:val="1B6D6E5F"/>
    <w:rsid w:val="1B7C0EA4"/>
    <w:rsid w:val="1B8D30D8"/>
    <w:rsid w:val="1B927C09"/>
    <w:rsid w:val="1B9E2D8D"/>
    <w:rsid w:val="1B9F2683"/>
    <w:rsid w:val="1BA76618"/>
    <w:rsid w:val="1BA778F8"/>
    <w:rsid w:val="1BB4060A"/>
    <w:rsid w:val="1BBB420C"/>
    <w:rsid w:val="1BBE25CE"/>
    <w:rsid w:val="1BC57C48"/>
    <w:rsid w:val="1BC7238D"/>
    <w:rsid w:val="1BD6109D"/>
    <w:rsid w:val="1BDB7CCB"/>
    <w:rsid w:val="1BDD5D01"/>
    <w:rsid w:val="1BE17087"/>
    <w:rsid w:val="1BE2250E"/>
    <w:rsid w:val="1BE36E52"/>
    <w:rsid w:val="1BEF1780"/>
    <w:rsid w:val="1BFD11FA"/>
    <w:rsid w:val="1C0F38A2"/>
    <w:rsid w:val="1C180A71"/>
    <w:rsid w:val="1C1946F9"/>
    <w:rsid w:val="1C1C49B9"/>
    <w:rsid w:val="1C1F5473"/>
    <w:rsid w:val="1C215403"/>
    <w:rsid w:val="1C3277F6"/>
    <w:rsid w:val="1C340653"/>
    <w:rsid w:val="1C374F75"/>
    <w:rsid w:val="1C5059CF"/>
    <w:rsid w:val="1C5C76B1"/>
    <w:rsid w:val="1C68738E"/>
    <w:rsid w:val="1C7B6ADF"/>
    <w:rsid w:val="1C7F1B37"/>
    <w:rsid w:val="1C8A1750"/>
    <w:rsid w:val="1C8F60C6"/>
    <w:rsid w:val="1C986179"/>
    <w:rsid w:val="1C9C6D09"/>
    <w:rsid w:val="1C9F7D02"/>
    <w:rsid w:val="1CA807E7"/>
    <w:rsid w:val="1CA82B90"/>
    <w:rsid w:val="1CA95385"/>
    <w:rsid w:val="1CAC1596"/>
    <w:rsid w:val="1CB753A9"/>
    <w:rsid w:val="1CB822C2"/>
    <w:rsid w:val="1CCE0F16"/>
    <w:rsid w:val="1CD91F40"/>
    <w:rsid w:val="1CD92967"/>
    <w:rsid w:val="1CE30F1E"/>
    <w:rsid w:val="1CEF6B87"/>
    <w:rsid w:val="1D02442F"/>
    <w:rsid w:val="1D096C28"/>
    <w:rsid w:val="1D0C59C3"/>
    <w:rsid w:val="1D1B25B4"/>
    <w:rsid w:val="1D265992"/>
    <w:rsid w:val="1D293531"/>
    <w:rsid w:val="1D321F02"/>
    <w:rsid w:val="1D38026C"/>
    <w:rsid w:val="1D426654"/>
    <w:rsid w:val="1D431140"/>
    <w:rsid w:val="1D453D13"/>
    <w:rsid w:val="1D505927"/>
    <w:rsid w:val="1D520E2A"/>
    <w:rsid w:val="1D5F5CC8"/>
    <w:rsid w:val="1D6B1FC0"/>
    <w:rsid w:val="1D783268"/>
    <w:rsid w:val="1D8315F9"/>
    <w:rsid w:val="1D85524F"/>
    <w:rsid w:val="1D860B74"/>
    <w:rsid w:val="1D8C59A3"/>
    <w:rsid w:val="1DA2204B"/>
    <w:rsid w:val="1DA9513F"/>
    <w:rsid w:val="1DA95E44"/>
    <w:rsid w:val="1DB530CD"/>
    <w:rsid w:val="1DC323E3"/>
    <w:rsid w:val="1DD3012D"/>
    <w:rsid w:val="1DF14E73"/>
    <w:rsid w:val="1DF335B8"/>
    <w:rsid w:val="1DF433F5"/>
    <w:rsid w:val="1DFF3A18"/>
    <w:rsid w:val="1E010E49"/>
    <w:rsid w:val="1E0163BD"/>
    <w:rsid w:val="1E271CCC"/>
    <w:rsid w:val="1E290E7E"/>
    <w:rsid w:val="1E2F66C1"/>
    <w:rsid w:val="1E3F3340"/>
    <w:rsid w:val="1E4573D6"/>
    <w:rsid w:val="1E463BAF"/>
    <w:rsid w:val="1E607F17"/>
    <w:rsid w:val="1E6872C3"/>
    <w:rsid w:val="1E815C99"/>
    <w:rsid w:val="1E844189"/>
    <w:rsid w:val="1E87393E"/>
    <w:rsid w:val="1E951368"/>
    <w:rsid w:val="1E9858BE"/>
    <w:rsid w:val="1E9918EA"/>
    <w:rsid w:val="1EA0654E"/>
    <w:rsid w:val="1EA23895"/>
    <w:rsid w:val="1EA4369F"/>
    <w:rsid w:val="1EA735AD"/>
    <w:rsid w:val="1EA7730E"/>
    <w:rsid w:val="1EB01CB4"/>
    <w:rsid w:val="1EB02F65"/>
    <w:rsid w:val="1EB573ED"/>
    <w:rsid w:val="1EB64FFE"/>
    <w:rsid w:val="1EBE199B"/>
    <w:rsid w:val="1EF657CB"/>
    <w:rsid w:val="1F046272"/>
    <w:rsid w:val="1F0B66A7"/>
    <w:rsid w:val="1F2546D6"/>
    <w:rsid w:val="1F35239A"/>
    <w:rsid w:val="1F386F87"/>
    <w:rsid w:val="1F3C63CC"/>
    <w:rsid w:val="1F4505E6"/>
    <w:rsid w:val="1F48088F"/>
    <w:rsid w:val="1F4F35E5"/>
    <w:rsid w:val="1F565930"/>
    <w:rsid w:val="1F63339F"/>
    <w:rsid w:val="1F851EFB"/>
    <w:rsid w:val="1F914FED"/>
    <w:rsid w:val="1F9C7502"/>
    <w:rsid w:val="1FC04427"/>
    <w:rsid w:val="1FCF3DEC"/>
    <w:rsid w:val="1FDE57F9"/>
    <w:rsid w:val="1FE458CE"/>
    <w:rsid w:val="1FF24735"/>
    <w:rsid w:val="1FF25B3C"/>
    <w:rsid w:val="200275F9"/>
    <w:rsid w:val="20030F8C"/>
    <w:rsid w:val="2003342B"/>
    <w:rsid w:val="200E5506"/>
    <w:rsid w:val="201B528E"/>
    <w:rsid w:val="20410CF2"/>
    <w:rsid w:val="205C7097"/>
    <w:rsid w:val="20633C30"/>
    <w:rsid w:val="206755DB"/>
    <w:rsid w:val="206946B3"/>
    <w:rsid w:val="20780AA3"/>
    <w:rsid w:val="207976BE"/>
    <w:rsid w:val="20850218"/>
    <w:rsid w:val="2086686C"/>
    <w:rsid w:val="20933C7D"/>
    <w:rsid w:val="2094339B"/>
    <w:rsid w:val="20A26591"/>
    <w:rsid w:val="20B668A3"/>
    <w:rsid w:val="20BE7CF4"/>
    <w:rsid w:val="20CB35F3"/>
    <w:rsid w:val="20E33285"/>
    <w:rsid w:val="20E51210"/>
    <w:rsid w:val="20EF6744"/>
    <w:rsid w:val="210017AC"/>
    <w:rsid w:val="21210F60"/>
    <w:rsid w:val="2129017E"/>
    <w:rsid w:val="21293EEF"/>
    <w:rsid w:val="213B7647"/>
    <w:rsid w:val="213E269A"/>
    <w:rsid w:val="213F2CB2"/>
    <w:rsid w:val="21441AD2"/>
    <w:rsid w:val="2148248D"/>
    <w:rsid w:val="21583F72"/>
    <w:rsid w:val="215C7EDB"/>
    <w:rsid w:val="216A69E1"/>
    <w:rsid w:val="216B0BDF"/>
    <w:rsid w:val="2171056A"/>
    <w:rsid w:val="21734CD1"/>
    <w:rsid w:val="217C6AF6"/>
    <w:rsid w:val="2180396A"/>
    <w:rsid w:val="218F014F"/>
    <w:rsid w:val="21921D1E"/>
    <w:rsid w:val="21962D7C"/>
    <w:rsid w:val="21982683"/>
    <w:rsid w:val="21A001A9"/>
    <w:rsid w:val="21A0596C"/>
    <w:rsid w:val="21A17612"/>
    <w:rsid w:val="21A95B50"/>
    <w:rsid w:val="21B62F0C"/>
    <w:rsid w:val="21BF6C83"/>
    <w:rsid w:val="21C21CF1"/>
    <w:rsid w:val="21C72100"/>
    <w:rsid w:val="21D51E65"/>
    <w:rsid w:val="21DC0DFE"/>
    <w:rsid w:val="21E172EE"/>
    <w:rsid w:val="21E649EC"/>
    <w:rsid w:val="21EC7A6F"/>
    <w:rsid w:val="21F17561"/>
    <w:rsid w:val="21F17578"/>
    <w:rsid w:val="21F8059F"/>
    <w:rsid w:val="21FB04CE"/>
    <w:rsid w:val="220B3A24"/>
    <w:rsid w:val="220F3B55"/>
    <w:rsid w:val="22132C94"/>
    <w:rsid w:val="221413F8"/>
    <w:rsid w:val="22213D8A"/>
    <w:rsid w:val="22313A45"/>
    <w:rsid w:val="22442B67"/>
    <w:rsid w:val="224D735E"/>
    <w:rsid w:val="22506ED4"/>
    <w:rsid w:val="22536DD0"/>
    <w:rsid w:val="225B3D6B"/>
    <w:rsid w:val="2261114E"/>
    <w:rsid w:val="22653D6F"/>
    <w:rsid w:val="226E55A1"/>
    <w:rsid w:val="227137F9"/>
    <w:rsid w:val="22734C95"/>
    <w:rsid w:val="2285731A"/>
    <w:rsid w:val="228E7A3D"/>
    <w:rsid w:val="229901EA"/>
    <w:rsid w:val="229C5B5E"/>
    <w:rsid w:val="22AA5218"/>
    <w:rsid w:val="22B658A3"/>
    <w:rsid w:val="22B97FD1"/>
    <w:rsid w:val="22BE55FB"/>
    <w:rsid w:val="22BF6655"/>
    <w:rsid w:val="22D75A65"/>
    <w:rsid w:val="22DE7DFF"/>
    <w:rsid w:val="22E948D4"/>
    <w:rsid w:val="22F369D5"/>
    <w:rsid w:val="22FA101B"/>
    <w:rsid w:val="22FC3BB6"/>
    <w:rsid w:val="23036DA7"/>
    <w:rsid w:val="230421A7"/>
    <w:rsid w:val="2305633A"/>
    <w:rsid w:val="23077707"/>
    <w:rsid w:val="23190BEA"/>
    <w:rsid w:val="23495BF2"/>
    <w:rsid w:val="23610892"/>
    <w:rsid w:val="23690931"/>
    <w:rsid w:val="236D40CF"/>
    <w:rsid w:val="237918F8"/>
    <w:rsid w:val="237B1C44"/>
    <w:rsid w:val="23827F2E"/>
    <w:rsid w:val="238B6EE7"/>
    <w:rsid w:val="23987942"/>
    <w:rsid w:val="239C7BFA"/>
    <w:rsid w:val="23BC26AD"/>
    <w:rsid w:val="23CB241D"/>
    <w:rsid w:val="23CF1830"/>
    <w:rsid w:val="23D023DD"/>
    <w:rsid w:val="23D6177F"/>
    <w:rsid w:val="23DD6207"/>
    <w:rsid w:val="23E115E8"/>
    <w:rsid w:val="23E1548E"/>
    <w:rsid w:val="23E25D92"/>
    <w:rsid w:val="23E634F2"/>
    <w:rsid w:val="23F1181F"/>
    <w:rsid w:val="23F37795"/>
    <w:rsid w:val="23F946BD"/>
    <w:rsid w:val="24077D80"/>
    <w:rsid w:val="24127725"/>
    <w:rsid w:val="24186305"/>
    <w:rsid w:val="242642DB"/>
    <w:rsid w:val="243B7118"/>
    <w:rsid w:val="24447BCB"/>
    <w:rsid w:val="24647735"/>
    <w:rsid w:val="24663EE2"/>
    <w:rsid w:val="24763899"/>
    <w:rsid w:val="24771B51"/>
    <w:rsid w:val="24790E24"/>
    <w:rsid w:val="247A03BB"/>
    <w:rsid w:val="248A6768"/>
    <w:rsid w:val="248C5366"/>
    <w:rsid w:val="248D4F84"/>
    <w:rsid w:val="24940077"/>
    <w:rsid w:val="24996FB5"/>
    <w:rsid w:val="249A6818"/>
    <w:rsid w:val="249C7E3B"/>
    <w:rsid w:val="24A916E5"/>
    <w:rsid w:val="24AC7C96"/>
    <w:rsid w:val="24B0423F"/>
    <w:rsid w:val="24B81EDD"/>
    <w:rsid w:val="24BF6811"/>
    <w:rsid w:val="24C005A0"/>
    <w:rsid w:val="24D6447F"/>
    <w:rsid w:val="24DC2579"/>
    <w:rsid w:val="24DD51C2"/>
    <w:rsid w:val="24DE17FF"/>
    <w:rsid w:val="24E053D9"/>
    <w:rsid w:val="24E22EE8"/>
    <w:rsid w:val="24EB7C73"/>
    <w:rsid w:val="24F07227"/>
    <w:rsid w:val="24F55279"/>
    <w:rsid w:val="24FB4346"/>
    <w:rsid w:val="250256A6"/>
    <w:rsid w:val="25031D50"/>
    <w:rsid w:val="25084927"/>
    <w:rsid w:val="25110BAF"/>
    <w:rsid w:val="25115EEA"/>
    <w:rsid w:val="251A4198"/>
    <w:rsid w:val="25244AC0"/>
    <w:rsid w:val="25274F54"/>
    <w:rsid w:val="252F5DEA"/>
    <w:rsid w:val="25396EC4"/>
    <w:rsid w:val="254315AD"/>
    <w:rsid w:val="25485DC6"/>
    <w:rsid w:val="254C13A3"/>
    <w:rsid w:val="255553F9"/>
    <w:rsid w:val="255F2855"/>
    <w:rsid w:val="256E2074"/>
    <w:rsid w:val="25745FA3"/>
    <w:rsid w:val="258A6AEA"/>
    <w:rsid w:val="25984788"/>
    <w:rsid w:val="259A54C2"/>
    <w:rsid w:val="259B3F67"/>
    <w:rsid w:val="259E112C"/>
    <w:rsid w:val="259E23E7"/>
    <w:rsid w:val="259E674B"/>
    <w:rsid w:val="25A2665E"/>
    <w:rsid w:val="25D26FBB"/>
    <w:rsid w:val="25DF350E"/>
    <w:rsid w:val="25E405D6"/>
    <w:rsid w:val="2603504E"/>
    <w:rsid w:val="26041D8E"/>
    <w:rsid w:val="260767C2"/>
    <w:rsid w:val="26120515"/>
    <w:rsid w:val="26424138"/>
    <w:rsid w:val="264F4CE0"/>
    <w:rsid w:val="2662379C"/>
    <w:rsid w:val="266D5935"/>
    <w:rsid w:val="266E5584"/>
    <w:rsid w:val="267961F1"/>
    <w:rsid w:val="26855452"/>
    <w:rsid w:val="26922401"/>
    <w:rsid w:val="26943B25"/>
    <w:rsid w:val="26984729"/>
    <w:rsid w:val="269B693A"/>
    <w:rsid w:val="26A56C7C"/>
    <w:rsid w:val="26B53F1A"/>
    <w:rsid w:val="26B8335B"/>
    <w:rsid w:val="26C0573F"/>
    <w:rsid w:val="26C80374"/>
    <w:rsid w:val="26EE5706"/>
    <w:rsid w:val="2701028C"/>
    <w:rsid w:val="27077C17"/>
    <w:rsid w:val="27093A83"/>
    <w:rsid w:val="27102D88"/>
    <w:rsid w:val="2712508D"/>
    <w:rsid w:val="271649AE"/>
    <w:rsid w:val="271C3D9E"/>
    <w:rsid w:val="27291FC0"/>
    <w:rsid w:val="27297F66"/>
    <w:rsid w:val="272F5371"/>
    <w:rsid w:val="27331D60"/>
    <w:rsid w:val="27382ED8"/>
    <w:rsid w:val="27387BC7"/>
    <w:rsid w:val="275A1BC1"/>
    <w:rsid w:val="275C7262"/>
    <w:rsid w:val="276734CF"/>
    <w:rsid w:val="276A6636"/>
    <w:rsid w:val="277272C6"/>
    <w:rsid w:val="27732414"/>
    <w:rsid w:val="2779057A"/>
    <w:rsid w:val="27817190"/>
    <w:rsid w:val="278228F6"/>
    <w:rsid w:val="278E2506"/>
    <w:rsid w:val="27CF6CED"/>
    <w:rsid w:val="27D0022E"/>
    <w:rsid w:val="27D23445"/>
    <w:rsid w:val="27E15565"/>
    <w:rsid w:val="27E82B5F"/>
    <w:rsid w:val="27E84190"/>
    <w:rsid w:val="27F50DF3"/>
    <w:rsid w:val="27FB0284"/>
    <w:rsid w:val="27FC39A7"/>
    <w:rsid w:val="27FF6A27"/>
    <w:rsid w:val="28171FD2"/>
    <w:rsid w:val="2818543F"/>
    <w:rsid w:val="282E1BF8"/>
    <w:rsid w:val="282F7679"/>
    <w:rsid w:val="28355251"/>
    <w:rsid w:val="28486649"/>
    <w:rsid w:val="28570F7C"/>
    <w:rsid w:val="285832C0"/>
    <w:rsid w:val="28657B53"/>
    <w:rsid w:val="286F1246"/>
    <w:rsid w:val="28706597"/>
    <w:rsid w:val="28755172"/>
    <w:rsid w:val="28787010"/>
    <w:rsid w:val="287B6793"/>
    <w:rsid w:val="28855273"/>
    <w:rsid w:val="289D1CB6"/>
    <w:rsid w:val="28A55294"/>
    <w:rsid w:val="28B038FE"/>
    <w:rsid w:val="28B85710"/>
    <w:rsid w:val="28B9550E"/>
    <w:rsid w:val="28C747E0"/>
    <w:rsid w:val="28CA1A4C"/>
    <w:rsid w:val="28D764B9"/>
    <w:rsid w:val="28E414D8"/>
    <w:rsid w:val="28EA4C1D"/>
    <w:rsid w:val="28ED368C"/>
    <w:rsid w:val="28F36958"/>
    <w:rsid w:val="28F509B9"/>
    <w:rsid w:val="28F72F9C"/>
    <w:rsid w:val="28FF4A17"/>
    <w:rsid w:val="290B7D1F"/>
    <w:rsid w:val="292465E1"/>
    <w:rsid w:val="292835F2"/>
    <w:rsid w:val="29332836"/>
    <w:rsid w:val="294632FB"/>
    <w:rsid w:val="294A6E79"/>
    <w:rsid w:val="295C2A94"/>
    <w:rsid w:val="2973520E"/>
    <w:rsid w:val="29753B3D"/>
    <w:rsid w:val="297868CA"/>
    <w:rsid w:val="297B41BE"/>
    <w:rsid w:val="29913167"/>
    <w:rsid w:val="299B2775"/>
    <w:rsid w:val="299B7BD0"/>
    <w:rsid w:val="29AB2742"/>
    <w:rsid w:val="29AE0DEF"/>
    <w:rsid w:val="29C630CF"/>
    <w:rsid w:val="29CA7191"/>
    <w:rsid w:val="29D100AA"/>
    <w:rsid w:val="29D758CB"/>
    <w:rsid w:val="29D90821"/>
    <w:rsid w:val="29DD5E4B"/>
    <w:rsid w:val="29E12EF9"/>
    <w:rsid w:val="29E35C42"/>
    <w:rsid w:val="29E50EC6"/>
    <w:rsid w:val="29E66CA5"/>
    <w:rsid w:val="29EB3C6B"/>
    <w:rsid w:val="29F35174"/>
    <w:rsid w:val="29F652FE"/>
    <w:rsid w:val="29FE03C4"/>
    <w:rsid w:val="2A0C2659"/>
    <w:rsid w:val="2A0D060C"/>
    <w:rsid w:val="2A0E1F9E"/>
    <w:rsid w:val="2A187495"/>
    <w:rsid w:val="2A1D7B3A"/>
    <w:rsid w:val="2A34211C"/>
    <w:rsid w:val="2A55011E"/>
    <w:rsid w:val="2A5B5088"/>
    <w:rsid w:val="2A5C220C"/>
    <w:rsid w:val="2A6F7AC4"/>
    <w:rsid w:val="2A7047FE"/>
    <w:rsid w:val="2A7A5A37"/>
    <w:rsid w:val="2A884DAD"/>
    <w:rsid w:val="2AA26817"/>
    <w:rsid w:val="2AB62D86"/>
    <w:rsid w:val="2AD034F6"/>
    <w:rsid w:val="2AD34228"/>
    <w:rsid w:val="2AD51A88"/>
    <w:rsid w:val="2AE469AC"/>
    <w:rsid w:val="2AE82666"/>
    <w:rsid w:val="2B1C62F3"/>
    <w:rsid w:val="2B1E3403"/>
    <w:rsid w:val="2B203AA6"/>
    <w:rsid w:val="2B2904A2"/>
    <w:rsid w:val="2B313572"/>
    <w:rsid w:val="2B372E74"/>
    <w:rsid w:val="2B3A6975"/>
    <w:rsid w:val="2B4108DC"/>
    <w:rsid w:val="2B463E12"/>
    <w:rsid w:val="2B5A7A15"/>
    <w:rsid w:val="2B5E1FD4"/>
    <w:rsid w:val="2B6007B5"/>
    <w:rsid w:val="2B6C2F68"/>
    <w:rsid w:val="2B6D706F"/>
    <w:rsid w:val="2B7531A2"/>
    <w:rsid w:val="2B754448"/>
    <w:rsid w:val="2B76488D"/>
    <w:rsid w:val="2B787E0F"/>
    <w:rsid w:val="2B805AD8"/>
    <w:rsid w:val="2B825963"/>
    <w:rsid w:val="2B8B78F3"/>
    <w:rsid w:val="2B99750B"/>
    <w:rsid w:val="2BA16896"/>
    <w:rsid w:val="2BA504DD"/>
    <w:rsid w:val="2BA90AA9"/>
    <w:rsid w:val="2BB03388"/>
    <w:rsid w:val="2BB33B73"/>
    <w:rsid w:val="2BB531F1"/>
    <w:rsid w:val="2BC62A64"/>
    <w:rsid w:val="2BD3651C"/>
    <w:rsid w:val="2BD6644C"/>
    <w:rsid w:val="2BF20E5D"/>
    <w:rsid w:val="2BF66940"/>
    <w:rsid w:val="2BF76C3C"/>
    <w:rsid w:val="2BFE5372"/>
    <w:rsid w:val="2C011B8C"/>
    <w:rsid w:val="2C1D26C4"/>
    <w:rsid w:val="2C2240F7"/>
    <w:rsid w:val="2C2C49BC"/>
    <w:rsid w:val="2C581869"/>
    <w:rsid w:val="2C5D4517"/>
    <w:rsid w:val="2C6216FF"/>
    <w:rsid w:val="2C660EF9"/>
    <w:rsid w:val="2C6B57F0"/>
    <w:rsid w:val="2C6D2EF1"/>
    <w:rsid w:val="2C6D660F"/>
    <w:rsid w:val="2C71464B"/>
    <w:rsid w:val="2C715DD3"/>
    <w:rsid w:val="2C792640"/>
    <w:rsid w:val="2C825415"/>
    <w:rsid w:val="2C9024E7"/>
    <w:rsid w:val="2C983D35"/>
    <w:rsid w:val="2C9C6BCC"/>
    <w:rsid w:val="2CA5115C"/>
    <w:rsid w:val="2CA749A2"/>
    <w:rsid w:val="2CA918BF"/>
    <w:rsid w:val="2CB67813"/>
    <w:rsid w:val="2CB73CDC"/>
    <w:rsid w:val="2CC74884"/>
    <w:rsid w:val="2CCB6B9E"/>
    <w:rsid w:val="2CCF4377"/>
    <w:rsid w:val="2CCF66CD"/>
    <w:rsid w:val="2CDB1D2A"/>
    <w:rsid w:val="2CE62A00"/>
    <w:rsid w:val="2CF85053"/>
    <w:rsid w:val="2D1730CD"/>
    <w:rsid w:val="2D595E06"/>
    <w:rsid w:val="2D5A1875"/>
    <w:rsid w:val="2D5A2B17"/>
    <w:rsid w:val="2D5E3363"/>
    <w:rsid w:val="2D64501D"/>
    <w:rsid w:val="2D717598"/>
    <w:rsid w:val="2D757EA0"/>
    <w:rsid w:val="2D7B54ED"/>
    <w:rsid w:val="2D86441F"/>
    <w:rsid w:val="2D8854A3"/>
    <w:rsid w:val="2D9A1A47"/>
    <w:rsid w:val="2D9A5D56"/>
    <w:rsid w:val="2DB41103"/>
    <w:rsid w:val="2DB47975"/>
    <w:rsid w:val="2DB50C8A"/>
    <w:rsid w:val="2DB6670B"/>
    <w:rsid w:val="2DB76E97"/>
    <w:rsid w:val="2DBE2C07"/>
    <w:rsid w:val="2DC25D0A"/>
    <w:rsid w:val="2DC81675"/>
    <w:rsid w:val="2DC93013"/>
    <w:rsid w:val="2DCD26AF"/>
    <w:rsid w:val="2DCE3DB2"/>
    <w:rsid w:val="2DD22BFE"/>
    <w:rsid w:val="2DD40321"/>
    <w:rsid w:val="2DDA6CF9"/>
    <w:rsid w:val="2DE73C20"/>
    <w:rsid w:val="2DE9234A"/>
    <w:rsid w:val="2DF07BB7"/>
    <w:rsid w:val="2E003CAC"/>
    <w:rsid w:val="2E013A34"/>
    <w:rsid w:val="2E043631"/>
    <w:rsid w:val="2E0A19FF"/>
    <w:rsid w:val="2E0B3C17"/>
    <w:rsid w:val="2E0B749A"/>
    <w:rsid w:val="2E0E6011"/>
    <w:rsid w:val="2E1074B3"/>
    <w:rsid w:val="2E121C62"/>
    <w:rsid w:val="2E127151"/>
    <w:rsid w:val="2E184945"/>
    <w:rsid w:val="2E252255"/>
    <w:rsid w:val="2E281697"/>
    <w:rsid w:val="2E2E5AA0"/>
    <w:rsid w:val="2E316003"/>
    <w:rsid w:val="2E316845"/>
    <w:rsid w:val="2E330C54"/>
    <w:rsid w:val="2E3977CC"/>
    <w:rsid w:val="2E4D2E32"/>
    <w:rsid w:val="2E5457D0"/>
    <w:rsid w:val="2E5D531D"/>
    <w:rsid w:val="2E5E2288"/>
    <w:rsid w:val="2E6E760F"/>
    <w:rsid w:val="2E854761"/>
    <w:rsid w:val="2E943083"/>
    <w:rsid w:val="2EA2335C"/>
    <w:rsid w:val="2EA471AA"/>
    <w:rsid w:val="2EA5506A"/>
    <w:rsid w:val="2EAF5D62"/>
    <w:rsid w:val="2EB26D6F"/>
    <w:rsid w:val="2EB26D74"/>
    <w:rsid w:val="2EB30B30"/>
    <w:rsid w:val="2EBF257A"/>
    <w:rsid w:val="2ED3426F"/>
    <w:rsid w:val="2EE440A2"/>
    <w:rsid w:val="2EE50C27"/>
    <w:rsid w:val="2EE93255"/>
    <w:rsid w:val="2EF16497"/>
    <w:rsid w:val="2F0A3B30"/>
    <w:rsid w:val="2F130C87"/>
    <w:rsid w:val="2F1B2269"/>
    <w:rsid w:val="2F226C62"/>
    <w:rsid w:val="2F2346E4"/>
    <w:rsid w:val="2F352CAB"/>
    <w:rsid w:val="2F3A30F1"/>
    <w:rsid w:val="2F486EA2"/>
    <w:rsid w:val="2F590610"/>
    <w:rsid w:val="2F5F18C5"/>
    <w:rsid w:val="2F6D4A7A"/>
    <w:rsid w:val="2F714C6E"/>
    <w:rsid w:val="2F7553E7"/>
    <w:rsid w:val="2F7719A5"/>
    <w:rsid w:val="2F7D58EF"/>
    <w:rsid w:val="2F825D2B"/>
    <w:rsid w:val="2F884CFD"/>
    <w:rsid w:val="2F984080"/>
    <w:rsid w:val="2FB86E00"/>
    <w:rsid w:val="2FD07C0B"/>
    <w:rsid w:val="2FF946AF"/>
    <w:rsid w:val="2FFA7E06"/>
    <w:rsid w:val="2FFB2F59"/>
    <w:rsid w:val="3019586A"/>
    <w:rsid w:val="30222C47"/>
    <w:rsid w:val="302A5966"/>
    <w:rsid w:val="30313FD8"/>
    <w:rsid w:val="303572B2"/>
    <w:rsid w:val="30390754"/>
    <w:rsid w:val="303E7E9C"/>
    <w:rsid w:val="304C5125"/>
    <w:rsid w:val="304D432C"/>
    <w:rsid w:val="305C6AE5"/>
    <w:rsid w:val="30686A94"/>
    <w:rsid w:val="3073361A"/>
    <w:rsid w:val="30797FF1"/>
    <w:rsid w:val="30880EDD"/>
    <w:rsid w:val="308C0F38"/>
    <w:rsid w:val="308F3EBF"/>
    <w:rsid w:val="309276DD"/>
    <w:rsid w:val="30960D42"/>
    <w:rsid w:val="30B86005"/>
    <w:rsid w:val="30BB6BE8"/>
    <w:rsid w:val="30BF02D7"/>
    <w:rsid w:val="30CE56B4"/>
    <w:rsid w:val="30DB0BC0"/>
    <w:rsid w:val="30DE023D"/>
    <w:rsid w:val="30E3124C"/>
    <w:rsid w:val="30E51754"/>
    <w:rsid w:val="30F414AA"/>
    <w:rsid w:val="310622FB"/>
    <w:rsid w:val="3107663A"/>
    <w:rsid w:val="310C3F27"/>
    <w:rsid w:val="312209C3"/>
    <w:rsid w:val="312A7BA7"/>
    <w:rsid w:val="312B40DA"/>
    <w:rsid w:val="3137414F"/>
    <w:rsid w:val="314B12E9"/>
    <w:rsid w:val="315031F3"/>
    <w:rsid w:val="31616B18"/>
    <w:rsid w:val="31654255"/>
    <w:rsid w:val="316E6827"/>
    <w:rsid w:val="31772A68"/>
    <w:rsid w:val="31815ECC"/>
    <w:rsid w:val="31867ED0"/>
    <w:rsid w:val="31BA1942"/>
    <w:rsid w:val="31C02F7D"/>
    <w:rsid w:val="31CC07DD"/>
    <w:rsid w:val="31CF55C7"/>
    <w:rsid w:val="31E27372"/>
    <w:rsid w:val="31EE5D71"/>
    <w:rsid w:val="31F67A05"/>
    <w:rsid w:val="320300A9"/>
    <w:rsid w:val="320A6650"/>
    <w:rsid w:val="32100E07"/>
    <w:rsid w:val="32177AB4"/>
    <w:rsid w:val="321D1FB7"/>
    <w:rsid w:val="323352EB"/>
    <w:rsid w:val="323716BA"/>
    <w:rsid w:val="32480ABB"/>
    <w:rsid w:val="325451C0"/>
    <w:rsid w:val="3256363B"/>
    <w:rsid w:val="32785D94"/>
    <w:rsid w:val="327C6D7F"/>
    <w:rsid w:val="328927F0"/>
    <w:rsid w:val="329807D6"/>
    <w:rsid w:val="32A074E5"/>
    <w:rsid w:val="32A525AE"/>
    <w:rsid w:val="32B6782C"/>
    <w:rsid w:val="32BB5BE6"/>
    <w:rsid w:val="32BE744E"/>
    <w:rsid w:val="32C74138"/>
    <w:rsid w:val="32CC6470"/>
    <w:rsid w:val="32DA4FF1"/>
    <w:rsid w:val="32DB5B7C"/>
    <w:rsid w:val="32F86521"/>
    <w:rsid w:val="32FD49B4"/>
    <w:rsid w:val="32FF5CB9"/>
    <w:rsid w:val="330324CE"/>
    <w:rsid w:val="330A09BA"/>
    <w:rsid w:val="331223E5"/>
    <w:rsid w:val="33233D44"/>
    <w:rsid w:val="332A0733"/>
    <w:rsid w:val="333614B9"/>
    <w:rsid w:val="3347211C"/>
    <w:rsid w:val="33483BE5"/>
    <w:rsid w:val="334A13FE"/>
    <w:rsid w:val="334C58DB"/>
    <w:rsid w:val="334D3839"/>
    <w:rsid w:val="335977D4"/>
    <w:rsid w:val="336A6549"/>
    <w:rsid w:val="336C48DD"/>
    <w:rsid w:val="33743FB6"/>
    <w:rsid w:val="33892CE6"/>
    <w:rsid w:val="338B1720"/>
    <w:rsid w:val="33937017"/>
    <w:rsid w:val="33AA4349"/>
    <w:rsid w:val="33CC3E86"/>
    <w:rsid w:val="33CE7098"/>
    <w:rsid w:val="33D2106F"/>
    <w:rsid w:val="33DC0295"/>
    <w:rsid w:val="33E80D48"/>
    <w:rsid w:val="33FD74D3"/>
    <w:rsid w:val="340D67F3"/>
    <w:rsid w:val="341E6110"/>
    <w:rsid w:val="34344A31"/>
    <w:rsid w:val="34383E1A"/>
    <w:rsid w:val="344A2D5E"/>
    <w:rsid w:val="344A45AE"/>
    <w:rsid w:val="345B5CC1"/>
    <w:rsid w:val="345C11EF"/>
    <w:rsid w:val="346045FB"/>
    <w:rsid w:val="346B6FF6"/>
    <w:rsid w:val="347D268B"/>
    <w:rsid w:val="34856273"/>
    <w:rsid w:val="348B2EC1"/>
    <w:rsid w:val="348C4190"/>
    <w:rsid w:val="348F5147"/>
    <w:rsid w:val="34930B09"/>
    <w:rsid w:val="34A0626C"/>
    <w:rsid w:val="34A30568"/>
    <w:rsid w:val="34A72E47"/>
    <w:rsid w:val="34A7443C"/>
    <w:rsid w:val="34AA5A72"/>
    <w:rsid w:val="34B45B87"/>
    <w:rsid w:val="34C1394B"/>
    <w:rsid w:val="34C64301"/>
    <w:rsid w:val="34CE71B5"/>
    <w:rsid w:val="34D75A63"/>
    <w:rsid w:val="34E4062B"/>
    <w:rsid w:val="34F22205"/>
    <w:rsid w:val="34F40845"/>
    <w:rsid w:val="34F57C02"/>
    <w:rsid w:val="34F91DAB"/>
    <w:rsid w:val="34FC447A"/>
    <w:rsid w:val="350039AA"/>
    <w:rsid w:val="35054993"/>
    <w:rsid w:val="35087BB5"/>
    <w:rsid w:val="350C3803"/>
    <w:rsid w:val="35125A78"/>
    <w:rsid w:val="351604EA"/>
    <w:rsid w:val="35173BED"/>
    <w:rsid w:val="35200E62"/>
    <w:rsid w:val="3533643D"/>
    <w:rsid w:val="35411292"/>
    <w:rsid w:val="354613F6"/>
    <w:rsid w:val="35591F1A"/>
    <w:rsid w:val="356154A3"/>
    <w:rsid w:val="356D45DD"/>
    <w:rsid w:val="35847E67"/>
    <w:rsid w:val="358C6FB6"/>
    <w:rsid w:val="35991D22"/>
    <w:rsid w:val="35AC681C"/>
    <w:rsid w:val="35AD209F"/>
    <w:rsid w:val="35BA56EF"/>
    <w:rsid w:val="35BF1DCC"/>
    <w:rsid w:val="35BF5C73"/>
    <w:rsid w:val="35D11AE8"/>
    <w:rsid w:val="35D544FA"/>
    <w:rsid w:val="35DA761D"/>
    <w:rsid w:val="35DC5C09"/>
    <w:rsid w:val="35E34777"/>
    <w:rsid w:val="35E96AFD"/>
    <w:rsid w:val="35EF45E9"/>
    <w:rsid w:val="35F52493"/>
    <w:rsid w:val="35F5260C"/>
    <w:rsid w:val="35F60EAF"/>
    <w:rsid w:val="35FA242F"/>
    <w:rsid w:val="35FB32C4"/>
    <w:rsid w:val="362045DC"/>
    <w:rsid w:val="3622388E"/>
    <w:rsid w:val="36322E7F"/>
    <w:rsid w:val="364C17F7"/>
    <w:rsid w:val="36567779"/>
    <w:rsid w:val="366631C5"/>
    <w:rsid w:val="36663454"/>
    <w:rsid w:val="36692452"/>
    <w:rsid w:val="366D7188"/>
    <w:rsid w:val="367147A1"/>
    <w:rsid w:val="3687490B"/>
    <w:rsid w:val="368A0F75"/>
    <w:rsid w:val="368A2987"/>
    <w:rsid w:val="368F5F79"/>
    <w:rsid w:val="369241C4"/>
    <w:rsid w:val="36A74649"/>
    <w:rsid w:val="36AB049D"/>
    <w:rsid w:val="36B10915"/>
    <w:rsid w:val="36B23CC0"/>
    <w:rsid w:val="36C12925"/>
    <w:rsid w:val="36DF382D"/>
    <w:rsid w:val="36E36898"/>
    <w:rsid w:val="36EA26C1"/>
    <w:rsid w:val="36EE428A"/>
    <w:rsid w:val="36F8373C"/>
    <w:rsid w:val="370207C8"/>
    <w:rsid w:val="370F207E"/>
    <w:rsid w:val="372B4E0C"/>
    <w:rsid w:val="372D7A0D"/>
    <w:rsid w:val="37314E91"/>
    <w:rsid w:val="3739599D"/>
    <w:rsid w:val="37490E61"/>
    <w:rsid w:val="37505F23"/>
    <w:rsid w:val="37520194"/>
    <w:rsid w:val="37577525"/>
    <w:rsid w:val="376016E5"/>
    <w:rsid w:val="377D3BE8"/>
    <w:rsid w:val="377F4B74"/>
    <w:rsid w:val="37816BDE"/>
    <w:rsid w:val="379B6047"/>
    <w:rsid w:val="37A95648"/>
    <w:rsid w:val="37BA5DB3"/>
    <w:rsid w:val="37D13F41"/>
    <w:rsid w:val="37D21034"/>
    <w:rsid w:val="37D548E2"/>
    <w:rsid w:val="37D726F4"/>
    <w:rsid w:val="37E3322C"/>
    <w:rsid w:val="37E53403"/>
    <w:rsid w:val="37F31F59"/>
    <w:rsid w:val="38150FD2"/>
    <w:rsid w:val="381A14CD"/>
    <w:rsid w:val="381B28ED"/>
    <w:rsid w:val="381B7FBE"/>
    <w:rsid w:val="381F55EF"/>
    <w:rsid w:val="38313FBC"/>
    <w:rsid w:val="38373AE6"/>
    <w:rsid w:val="383C5D83"/>
    <w:rsid w:val="384160FD"/>
    <w:rsid w:val="38423258"/>
    <w:rsid w:val="38494CA3"/>
    <w:rsid w:val="384C5A62"/>
    <w:rsid w:val="38624FD1"/>
    <w:rsid w:val="38666A14"/>
    <w:rsid w:val="386A260C"/>
    <w:rsid w:val="38700649"/>
    <w:rsid w:val="38764AB1"/>
    <w:rsid w:val="3876614B"/>
    <w:rsid w:val="387F73BD"/>
    <w:rsid w:val="38831C0D"/>
    <w:rsid w:val="38841848"/>
    <w:rsid w:val="38877000"/>
    <w:rsid w:val="388E3B39"/>
    <w:rsid w:val="38A2522E"/>
    <w:rsid w:val="38A53279"/>
    <w:rsid w:val="38AA598D"/>
    <w:rsid w:val="38B613C0"/>
    <w:rsid w:val="38B83906"/>
    <w:rsid w:val="38BA2CF0"/>
    <w:rsid w:val="38C94D18"/>
    <w:rsid w:val="38CF4AD0"/>
    <w:rsid w:val="38D05E82"/>
    <w:rsid w:val="38DE5502"/>
    <w:rsid w:val="38E27CCF"/>
    <w:rsid w:val="390B2260"/>
    <w:rsid w:val="391065F4"/>
    <w:rsid w:val="392257A6"/>
    <w:rsid w:val="3924434B"/>
    <w:rsid w:val="39250C6C"/>
    <w:rsid w:val="392748D4"/>
    <w:rsid w:val="392E425F"/>
    <w:rsid w:val="393266A6"/>
    <w:rsid w:val="393E0E92"/>
    <w:rsid w:val="39475163"/>
    <w:rsid w:val="3947604C"/>
    <w:rsid w:val="39495E6C"/>
    <w:rsid w:val="39577B9F"/>
    <w:rsid w:val="39582DC5"/>
    <w:rsid w:val="395D3729"/>
    <w:rsid w:val="39615AAF"/>
    <w:rsid w:val="396663B4"/>
    <w:rsid w:val="39690BB2"/>
    <w:rsid w:val="396A0370"/>
    <w:rsid w:val="396A0A03"/>
    <w:rsid w:val="396C04C1"/>
    <w:rsid w:val="3983587A"/>
    <w:rsid w:val="39850D01"/>
    <w:rsid w:val="398601C2"/>
    <w:rsid w:val="398969AE"/>
    <w:rsid w:val="398F3AFD"/>
    <w:rsid w:val="39910700"/>
    <w:rsid w:val="39930007"/>
    <w:rsid w:val="39941365"/>
    <w:rsid w:val="39AA1A70"/>
    <w:rsid w:val="39BE5373"/>
    <w:rsid w:val="39C07F4B"/>
    <w:rsid w:val="39C21398"/>
    <w:rsid w:val="39C33364"/>
    <w:rsid w:val="39C97D98"/>
    <w:rsid w:val="39CC1AF9"/>
    <w:rsid w:val="39F33187"/>
    <w:rsid w:val="39F42173"/>
    <w:rsid w:val="3A076210"/>
    <w:rsid w:val="3A092FB2"/>
    <w:rsid w:val="3A2B2EA0"/>
    <w:rsid w:val="3A2B56CD"/>
    <w:rsid w:val="3A3A4DA9"/>
    <w:rsid w:val="3A4540B7"/>
    <w:rsid w:val="3A47491E"/>
    <w:rsid w:val="3A4D1817"/>
    <w:rsid w:val="3A4F2B46"/>
    <w:rsid w:val="3A521F4B"/>
    <w:rsid w:val="3A630A59"/>
    <w:rsid w:val="3A6A298C"/>
    <w:rsid w:val="3A8C3F4E"/>
    <w:rsid w:val="3A954AAB"/>
    <w:rsid w:val="3A9721AC"/>
    <w:rsid w:val="3AA66629"/>
    <w:rsid w:val="3AA7698E"/>
    <w:rsid w:val="3AA84EFD"/>
    <w:rsid w:val="3AA95F6E"/>
    <w:rsid w:val="3AB47AE8"/>
    <w:rsid w:val="3ABA4686"/>
    <w:rsid w:val="3ABA5910"/>
    <w:rsid w:val="3ACF7E0A"/>
    <w:rsid w:val="3AD24910"/>
    <w:rsid w:val="3ADA779E"/>
    <w:rsid w:val="3ADD2F29"/>
    <w:rsid w:val="3ADD79CA"/>
    <w:rsid w:val="3AE61A1C"/>
    <w:rsid w:val="3AE70A8C"/>
    <w:rsid w:val="3AEC51FC"/>
    <w:rsid w:val="3AEE643E"/>
    <w:rsid w:val="3AF712CC"/>
    <w:rsid w:val="3B08600A"/>
    <w:rsid w:val="3B180854"/>
    <w:rsid w:val="3B1B2786"/>
    <w:rsid w:val="3B243095"/>
    <w:rsid w:val="3B2A3E40"/>
    <w:rsid w:val="3B2C3E50"/>
    <w:rsid w:val="3B31208C"/>
    <w:rsid w:val="3B3977B7"/>
    <w:rsid w:val="3B3A1CDA"/>
    <w:rsid w:val="3B43305C"/>
    <w:rsid w:val="3B444403"/>
    <w:rsid w:val="3B4B4FD9"/>
    <w:rsid w:val="3B4C3A95"/>
    <w:rsid w:val="3B4F5F8C"/>
    <w:rsid w:val="3B51118C"/>
    <w:rsid w:val="3B7A606A"/>
    <w:rsid w:val="3B7F5667"/>
    <w:rsid w:val="3B837AEA"/>
    <w:rsid w:val="3B8C208B"/>
    <w:rsid w:val="3B8E0214"/>
    <w:rsid w:val="3B907098"/>
    <w:rsid w:val="3B9C2B30"/>
    <w:rsid w:val="3BA534E6"/>
    <w:rsid w:val="3BAB3C48"/>
    <w:rsid w:val="3BB33BFE"/>
    <w:rsid w:val="3BC14218"/>
    <w:rsid w:val="3BC672C9"/>
    <w:rsid w:val="3BCC25A9"/>
    <w:rsid w:val="3BD60244"/>
    <w:rsid w:val="3BDE210D"/>
    <w:rsid w:val="3BE251FF"/>
    <w:rsid w:val="3BF16F66"/>
    <w:rsid w:val="3BF4735F"/>
    <w:rsid w:val="3BF82174"/>
    <w:rsid w:val="3BFD2B59"/>
    <w:rsid w:val="3C09240E"/>
    <w:rsid w:val="3C0E669B"/>
    <w:rsid w:val="3C1C216C"/>
    <w:rsid w:val="3C1E3DD9"/>
    <w:rsid w:val="3C253860"/>
    <w:rsid w:val="3C3B61E6"/>
    <w:rsid w:val="3C3C5F81"/>
    <w:rsid w:val="3C4B1CB6"/>
    <w:rsid w:val="3C4E684C"/>
    <w:rsid w:val="3C541C04"/>
    <w:rsid w:val="3C5C541C"/>
    <w:rsid w:val="3C71025F"/>
    <w:rsid w:val="3C794A60"/>
    <w:rsid w:val="3C841A9B"/>
    <w:rsid w:val="3C9B60FA"/>
    <w:rsid w:val="3CA222BE"/>
    <w:rsid w:val="3CA274B0"/>
    <w:rsid w:val="3CA75E80"/>
    <w:rsid w:val="3CA80C93"/>
    <w:rsid w:val="3CAB5429"/>
    <w:rsid w:val="3CBC2ACD"/>
    <w:rsid w:val="3CC13DBB"/>
    <w:rsid w:val="3CC45B17"/>
    <w:rsid w:val="3CC5304B"/>
    <w:rsid w:val="3CE34806"/>
    <w:rsid w:val="3CE43076"/>
    <w:rsid w:val="3CF4492F"/>
    <w:rsid w:val="3D057BA9"/>
    <w:rsid w:val="3D1722A0"/>
    <w:rsid w:val="3D2D7C7D"/>
    <w:rsid w:val="3D2E5D55"/>
    <w:rsid w:val="3D3441D8"/>
    <w:rsid w:val="3D3831D3"/>
    <w:rsid w:val="3D3867A6"/>
    <w:rsid w:val="3D424537"/>
    <w:rsid w:val="3D477AB6"/>
    <w:rsid w:val="3D4E2743"/>
    <w:rsid w:val="3D574FCE"/>
    <w:rsid w:val="3D5C57F9"/>
    <w:rsid w:val="3D611A72"/>
    <w:rsid w:val="3D6178A7"/>
    <w:rsid w:val="3D7373A5"/>
    <w:rsid w:val="3D740B4C"/>
    <w:rsid w:val="3D764B63"/>
    <w:rsid w:val="3D7F3A14"/>
    <w:rsid w:val="3D826A6B"/>
    <w:rsid w:val="3D92406C"/>
    <w:rsid w:val="3D941941"/>
    <w:rsid w:val="3DA00E17"/>
    <w:rsid w:val="3DB02A06"/>
    <w:rsid w:val="3DC66BB2"/>
    <w:rsid w:val="3DC76B6C"/>
    <w:rsid w:val="3DC95DBD"/>
    <w:rsid w:val="3DCA3156"/>
    <w:rsid w:val="3DCB7AF0"/>
    <w:rsid w:val="3DD116BD"/>
    <w:rsid w:val="3DDC0EB3"/>
    <w:rsid w:val="3DDD6A6F"/>
    <w:rsid w:val="3DF5371D"/>
    <w:rsid w:val="3DF60935"/>
    <w:rsid w:val="3E004E4E"/>
    <w:rsid w:val="3E034CD3"/>
    <w:rsid w:val="3E184843"/>
    <w:rsid w:val="3E1E1AF9"/>
    <w:rsid w:val="3E21532E"/>
    <w:rsid w:val="3E320799"/>
    <w:rsid w:val="3E3227FD"/>
    <w:rsid w:val="3E4E694A"/>
    <w:rsid w:val="3E58447B"/>
    <w:rsid w:val="3E5D17EA"/>
    <w:rsid w:val="3E643EDE"/>
    <w:rsid w:val="3E6A240F"/>
    <w:rsid w:val="3E775CFE"/>
    <w:rsid w:val="3E7F074E"/>
    <w:rsid w:val="3E7F5180"/>
    <w:rsid w:val="3E89685F"/>
    <w:rsid w:val="3E8C3AE2"/>
    <w:rsid w:val="3E8C4D39"/>
    <w:rsid w:val="3E8E1C1C"/>
    <w:rsid w:val="3EA32E4E"/>
    <w:rsid w:val="3EA91C21"/>
    <w:rsid w:val="3EAD3D1C"/>
    <w:rsid w:val="3EAF0EE4"/>
    <w:rsid w:val="3EBF7327"/>
    <w:rsid w:val="3ECA4190"/>
    <w:rsid w:val="3ED23988"/>
    <w:rsid w:val="3ED53379"/>
    <w:rsid w:val="3EDC49FA"/>
    <w:rsid w:val="3EDE1C0A"/>
    <w:rsid w:val="3EDF5AD4"/>
    <w:rsid w:val="3EED1384"/>
    <w:rsid w:val="3EEE47F9"/>
    <w:rsid w:val="3EF60B0E"/>
    <w:rsid w:val="3EFC16DF"/>
    <w:rsid w:val="3EFD076C"/>
    <w:rsid w:val="3EFF42EA"/>
    <w:rsid w:val="3F0A01A4"/>
    <w:rsid w:val="3F106624"/>
    <w:rsid w:val="3F1075AC"/>
    <w:rsid w:val="3F2435A5"/>
    <w:rsid w:val="3F2471DE"/>
    <w:rsid w:val="3F2E7738"/>
    <w:rsid w:val="3F3166E3"/>
    <w:rsid w:val="3F433374"/>
    <w:rsid w:val="3F4A69BF"/>
    <w:rsid w:val="3F530871"/>
    <w:rsid w:val="3F5C6F82"/>
    <w:rsid w:val="3F5F40FE"/>
    <w:rsid w:val="3F617B87"/>
    <w:rsid w:val="3F675313"/>
    <w:rsid w:val="3F7C3EF6"/>
    <w:rsid w:val="3F865BC8"/>
    <w:rsid w:val="3F872ED4"/>
    <w:rsid w:val="3F9252BA"/>
    <w:rsid w:val="3F9D1007"/>
    <w:rsid w:val="3FA305C6"/>
    <w:rsid w:val="3FA626BF"/>
    <w:rsid w:val="3FA76EE6"/>
    <w:rsid w:val="3FAB2584"/>
    <w:rsid w:val="3FC962B1"/>
    <w:rsid w:val="3FD57E3E"/>
    <w:rsid w:val="3FD741AA"/>
    <w:rsid w:val="3FDC27F2"/>
    <w:rsid w:val="3FE56A7C"/>
    <w:rsid w:val="3FE82152"/>
    <w:rsid w:val="3FF077F6"/>
    <w:rsid w:val="3FF528D0"/>
    <w:rsid w:val="3FF76970"/>
    <w:rsid w:val="3FF92336"/>
    <w:rsid w:val="400242D9"/>
    <w:rsid w:val="40034D2F"/>
    <w:rsid w:val="401006C2"/>
    <w:rsid w:val="4021454C"/>
    <w:rsid w:val="402D3701"/>
    <w:rsid w:val="402D61D6"/>
    <w:rsid w:val="404E1A8D"/>
    <w:rsid w:val="4050542C"/>
    <w:rsid w:val="405C0910"/>
    <w:rsid w:val="405C47D0"/>
    <w:rsid w:val="40850678"/>
    <w:rsid w:val="40872DA6"/>
    <w:rsid w:val="409616B0"/>
    <w:rsid w:val="409877BB"/>
    <w:rsid w:val="40A11188"/>
    <w:rsid w:val="40AF0741"/>
    <w:rsid w:val="40B90E09"/>
    <w:rsid w:val="40BD0722"/>
    <w:rsid w:val="40CC4FBA"/>
    <w:rsid w:val="40CD00DD"/>
    <w:rsid w:val="40D22C80"/>
    <w:rsid w:val="40D3381B"/>
    <w:rsid w:val="40FE0D90"/>
    <w:rsid w:val="410220F7"/>
    <w:rsid w:val="41066141"/>
    <w:rsid w:val="41066AA4"/>
    <w:rsid w:val="41082D3D"/>
    <w:rsid w:val="410D22C8"/>
    <w:rsid w:val="410F1369"/>
    <w:rsid w:val="410F4AAD"/>
    <w:rsid w:val="41137A84"/>
    <w:rsid w:val="411F7AD0"/>
    <w:rsid w:val="41254B1F"/>
    <w:rsid w:val="41255AE2"/>
    <w:rsid w:val="41404D0A"/>
    <w:rsid w:val="414932AA"/>
    <w:rsid w:val="414B1B6C"/>
    <w:rsid w:val="415B2B5D"/>
    <w:rsid w:val="41647739"/>
    <w:rsid w:val="416E7C67"/>
    <w:rsid w:val="41776A4B"/>
    <w:rsid w:val="41783EC8"/>
    <w:rsid w:val="41792343"/>
    <w:rsid w:val="418A3D14"/>
    <w:rsid w:val="418C1AF8"/>
    <w:rsid w:val="418D051C"/>
    <w:rsid w:val="418E0B92"/>
    <w:rsid w:val="418E5F9D"/>
    <w:rsid w:val="4195372F"/>
    <w:rsid w:val="419D3B46"/>
    <w:rsid w:val="41A02EA1"/>
    <w:rsid w:val="41A13939"/>
    <w:rsid w:val="41A44EA1"/>
    <w:rsid w:val="41AE27DE"/>
    <w:rsid w:val="41B06152"/>
    <w:rsid w:val="41BE2E03"/>
    <w:rsid w:val="41C01E34"/>
    <w:rsid w:val="41E15009"/>
    <w:rsid w:val="41E97725"/>
    <w:rsid w:val="41F96D4F"/>
    <w:rsid w:val="420226D9"/>
    <w:rsid w:val="42025F5C"/>
    <w:rsid w:val="421C6BB6"/>
    <w:rsid w:val="42220E2D"/>
    <w:rsid w:val="422707EC"/>
    <w:rsid w:val="42406CA3"/>
    <w:rsid w:val="42410780"/>
    <w:rsid w:val="4255101F"/>
    <w:rsid w:val="425E5B17"/>
    <w:rsid w:val="42664630"/>
    <w:rsid w:val="4267663F"/>
    <w:rsid w:val="427172C6"/>
    <w:rsid w:val="42723B9F"/>
    <w:rsid w:val="42773BE5"/>
    <w:rsid w:val="427C6482"/>
    <w:rsid w:val="427C6E75"/>
    <w:rsid w:val="427D546F"/>
    <w:rsid w:val="427E28F3"/>
    <w:rsid w:val="42873795"/>
    <w:rsid w:val="428761B5"/>
    <w:rsid w:val="429B7D31"/>
    <w:rsid w:val="42A55EE3"/>
    <w:rsid w:val="42C27D1A"/>
    <w:rsid w:val="42CD278F"/>
    <w:rsid w:val="42DD1142"/>
    <w:rsid w:val="42DD2764"/>
    <w:rsid w:val="42E0252F"/>
    <w:rsid w:val="42E23103"/>
    <w:rsid w:val="42EC00D8"/>
    <w:rsid w:val="42F02361"/>
    <w:rsid w:val="42F83CDF"/>
    <w:rsid w:val="42FE0A6C"/>
    <w:rsid w:val="4316368D"/>
    <w:rsid w:val="432764D7"/>
    <w:rsid w:val="432D0DAD"/>
    <w:rsid w:val="4331099B"/>
    <w:rsid w:val="43345384"/>
    <w:rsid w:val="433714BA"/>
    <w:rsid w:val="4345786D"/>
    <w:rsid w:val="434A7901"/>
    <w:rsid w:val="43597D50"/>
    <w:rsid w:val="435F4DD1"/>
    <w:rsid w:val="436C75AC"/>
    <w:rsid w:val="436D6B95"/>
    <w:rsid w:val="437C4F65"/>
    <w:rsid w:val="43837406"/>
    <w:rsid w:val="4384055C"/>
    <w:rsid w:val="438F47F8"/>
    <w:rsid w:val="43913BC6"/>
    <w:rsid w:val="43973DF4"/>
    <w:rsid w:val="439C256F"/>
    <w:rsid w:val="43BB5CF5"/>
    <w:rsid w:val="43BC5BC0"/>
    <w:rsid w:val="43C57DBB"/>
    <w:rsid w:val="43C6732B"/>
    <w:rsid w:val="43D026A5"/>
    <w:rsid w:val="43D20063"/>
    <w:rsid w:val="43E243F1"/>
    <w:rsid w:val="43F53C37"/>
    <w:rsid w:val="44071B29"/>
    <w:rsid w:val="440E72B6"/>
    <w:rsid w:val="440E763A"/>
    <w:rsid w:val="440F3CEC"/>
    <w:rsid w:val="44144D20"/>
    <w:rsid w:val="441D5026"/>
    <w:rsid w:val="44255161"/>
    <w:rsid w:val="44297ADF"/>
    <w:rsid w:val="442E47B0"/>
    <w:rsid w:val="44365CE9"/>
    <w:rsid w:val="443F5C6F"/>
    <w:rsid w:val="444C3950"/>
    <w:rsid w:val="445441A7"/>
    <w:rsid w:val="44547F7F"/>
    <w:rsid w:val="44555C9C"/>
    <w:rsid w:val="44567386"/>
    <w:rsid w:val="44572FA8"/>
    <w:rsid w:val="44641922"/>
    <w:rsid w:val="446B764F"/>
    <w:rsid w:val="44701EB3"/>
    <w:rsid w:val="44704CEE"/>
    <w:rsid w:val="44842778"/>
    <w:rsid w:val="44877214"/>
    <w:rsid w:val="448D2AFB"/>
    <w:rsid w:val="449B2F79"/>
    <w:rsid w:val="44A7268F"/>
    <w:rsid w:val="44AC614A"/>
    <w:rsid w:val="44B609C8"/>
    <w:rsid w:val="44BA3B0B"/>
    <w:rsid w:val="44C4466E"/>
    <w:rsid w:val="44C83F2F"/>
    <w:rsid w:val="44D01572"/>
    <w:rsid w:val="44D07523"/>
    <w:rsid w:val="44DD302A"/>
    <w:rsid w:val="44E5006F"/>
    <w:rsid w:val="44E53B00"/>
    <w:rsid w:val="44E540A0"/>
    <w:rsid w:val="44EC54DE"/>
    <w:rsid w:val="44F07327"/>
    <w:rsid w:val="44F52539"/>
    <w:rsid w:val="44F6500D"/>
    <w:rsid w:val="450042C0"/>
    <w:rsid w:val="450E0316"/>
    <w:rsid w:val="45263BE4"/>
    <w:rsid w:val="452747E3"/>
    <w:rsid w:val="452B0F0E"/>
    <w:rsid w:val="452E251C"/>
    <w:rsid w:val="4539408A"/>
    <w:rsid w:val="454164C6"/>
    <w:rsid w:val="45445616"/>
    <w:rsid w:val="45481B33"/>
    <w:rsid w:val="455A2D53"/>
    <w:rsid w:val="455D6373"/>
    <w:rsid w:val="45683083"/>
    <w:rsid w:val="45690606"/>
    <w:rsid w:val="457017C7"/>
    <w:rsid w:val="457D33B2"/>
    <w:rsid w:val="45830E03"/>
    <w:rsid w:val="45876379"/>
    <w:rsid w:val="4597288B"/>
    <w:rsid w:val="45A101E2"/>
    <w:rsid w:val="45C637E5"/>
    <w:rsid w:val="45CB120A"/>
    <w:rsid w:val="45D56D16"/>
    <w:rsid w:val="4609023B"/>
    <w:rsid w:val="460E31F9"/>
    <w:rsid w:val="46120538"/>
    <w:rsid w:val="461540D9"/>
    <w:rsid w:val="461A1579"/>
    <w:rsid w:val="461A6091"/>
    <w:rsid w:val="464051B4"/>
    <w:rsid w:val="4657736C"/>
    <w:rsid w:val="467C28B2"/>
    <w:rsid w:val="4680512B"/>
    <w:rsid w:val="46967FDF"/>
    <w:rsid w:val="46980B5E"/>
    <w:rsid w:val="46AE62D8"/>
    <w:rsid w:val="46B11A07"/>
    <w:rsid w:val="46BA2397"/>
    <w:rsid w:val="46BB1AB0"/>
    <w:rsid w:val="46BC53B1"/>
    <w:rsid w:val="46CA7A50"/>
    <w:rsid w:val="46CC6842"/>
    <w:rsid w:val="46D42286"/>
    <w:rsid w:val="46D509C3"/>
    <w:rsid w:val="46D6373E"/>
    <w:rsid w:val="46DB5113"/>
    <w:rsid w:val="46E8123F"/>
    <w:rsid w:val="46E81BE2"/>
    <w:rsid w:val="46FD4E4D"/>
    <w:rsid w:val="46FF1CF3"/>
    <w:rsid w:val="47011219"/>
    <w:rsid w:val="47053579"/>
    <w:rsid w:val="470B7FE2"/>
    <w:rsid w:val="470C537F"/>
    <w:rsid w:val="471E5F87"/>
    <w:rsid w:val="472033C0"/>
    <w:rsid w:val="4723005D"/>
    <w:rsid w:val="47261973"/>
    <w:rsid w:val="4736034C"/>
    <w:rsid w:val="47421C93"/>
    <w:rsid w:val="47485B91"/>
    <w:rsid w:val="474C6374"/>
    <w:rsid w:val="47536EF4"/>
    <w:rsid w:val="475709D4"/>
    <w:rsid w:val="475816A8"/>
    <w:rsid w:val="475C7D39"/>
    <w:rsid w:val="47844B9B"/>
    <w:rsid w:val="4786291E"/>
    <w:rsid w:val="479013B3"/>
    <w:rsid w:val="479375CC"/>
    <w:rsid w:val="479F73AE"/>
    <w:rsid w:val="47AD64A7"/>
    <w:rsid w:val="47BB55E2"/>
    <w:rsid w:val="47BC798A"/>
    <w:rsid w:val="47C25DA0"/>
    <w:rsid w:val="47C46434"/>
    <w:rsid w:val="47C90E11"/>
    <w:rsid w:val="47EA2A89"/>
    <w:rsid w:val="47ED1653"/>
    <w:rsid w:val="47F47BA2"/>
    <w:rsid w:val="47FD379A"/>
    <w:rsid w:val="48131372"/>
    <w:rsid w:val="481A4815"/>
    <w:rsid w:val="4833220F"/>
    <w:rsid w:val="48370711"/>
    <w:rsid w:val="483C75D3"/>
    <w:rsid w:val="48463871"/>
    <w:rsid w:val="48472E23"/>
    <w:rsid w:val="484B37A2"/>
    <w:rsid w:val="484F0783"/>
    <w:rsid w:val="485166D4"/>
    <w:rsid w:val="48561630"/>
    <w:rsid w:val="48586940"/>
    <w:rsid w:val="485D5578"/>
    <w:rsid w:val="48616B03"/>
    <w:rsid w:val="48693CD1"/>
    <w:rsid w:val="486C0ED4"/>
    <w:rsid w:val="48701B20"/>
    <w:rsid w:val="48740C9A"/>
    <w:rsid w:val="487E340A"/>
    <w:rsid w:val="48A9539B"/>
    <w:rsid w:val="48AD0ACE"/>
    <w:rsid w:val="48AF154D"/>
    <w:rsid w:val="48B47C99"/>
    <w:rsid w:val="48B73793"/>
    <w:rsid w:val="48CA44D0"/>
    <w:rsid w:val="48D92844"/>
    <w:rsid w:val="48E6212A"/>
    <w:rsid w:val="48EB6ADC"/>
    <w:rsid w:val="48EF11B8"/>
    <w:rsid w:val="48F254BA"/>
    <w:rsid w:val="48FB1C38"/>
    <w:rsid w:val="48FD2AE6"/>
    <w:rsid w:val="48FF2E55"/>
    <w:rsid w:val="4902314A"/>
    <w:rsid w:val="49114D5C"/>
    <w:rsid w:val="491969FE"/>
    <w:rsid w:val="49210587"/>
    <w:rsid w:val="492E56A6"/>
    <w:rsid w:val="49367F96"/>
    <w:rsid w:val="494F17EB"/>
    <w:rsid w:val="49574D42"/>
    <w:rsid w:val="49627B61"/>
    <w:rsid w:val="496F1C44"/>
    <w:rsid w:val="49723EE5"/>
    <w:rsid w:val="49726139"/>
    <w:rsid w:val="49754867"/>
    <w:rsid w:val="49763E5D"/>
    <w:rsid w:val="497B531D"/>
    <w:rsid w:val="49801435"/>
    <w:rsid w:val="49890A0A"/>
    <w:rsid w:val="498D4607"/>
    <w:rsid w:val="49992FF5"/>
    <w:rsid w:val="499C670D"/>
    <w:rsid w:val="49C325BC"/>
    <w:rsid w:val="49C972DD"/>
    <w:rsid w:val="49D66701"/>
    <w:rsid w:val="49D76C66"/>
    <w:rsid w:val="49DF21ED"/>
    <w:rsid w:val="49E84728"/>
    <w:rsid w:val="49EB18D9"/>
    <w:rsid w:val="49F72B69"/>
    <w:rsid w:val="4A007BF5"/>
    <w:rsid w:val="4A022067"/>
    <w:rsid w:val="4A055991"/>
    <w:rsid w:val="4A0F3589"/>
    <w:rsid w:val="4A11692F"/>
    <w:rsid w:val="4A1409EE"/>
    <w:rsid w:val="4A1A14AD"/>
    <w:rsid w:val="4A1C1995"/>
    <w:rsid w:val="4A1E2A29"/>
    <w:rsid w:val="4A225FED"/>
    <w:rsid w:val="4A22732E"/>
    <w:rsid w:val="4A33640B"/>
    <w:rsid w:val="4A3B07BA"/>
    <w:rsid w:val="4A463048"/>
    <w:rsid w:val="4A485FBF"/>
    <w:rsid w:val="4A4940D3"/>
    <w:rsid w:val="4A527A6C"/>
    <w:rsid w:val="4A537A00"/>
    <w:rsid w:val="4A61026D"/>
    <w:rsid w:val="4A630594"/>
    <w:rsid w:val="4A73590F"/>
    <w:rsid w:val="4AA33D81"/>
    <w:rsid w:val="4AAD6F3B"/>
    <w:rsid w:val="4AB337D9"/>
    <w:rsid w:val="4AB437A7"/>
    <w:rsid w:val="4AB456CA"/>
    <w:rsid w:val="4AB9256A"/>
    <w:rsid w:val="4ABA2E03"/>
    <w:rsid w:val="4ABD1AB5"/>
    <w:rsid w:val="4ABE1F2D"/>
    <w:rsid w:val="4AD30177"/>
    <w:rsid w:val="4AD557A6"/>
    <w:rsid w:val="4ADB7F7B"/>
    <w:rsid w:val="4AE11A5D"/>
    <w:rsid w:val="4AE432F9"/>
    <w:rsid w:val="4AE66BEE"/>
    <w:rsid w:val="4AED5B0E"/>
    <w:rsid w:val="4AF1201A"/>
    <w:rsid w:val="4AF647E4"/>
    <w:rsid w:val="4AF76E89"/>
    <w:rsid w:val="4B0170E9"/>
    <w:rsid w:val="4B09629E"/>
    <w:rsid w:val="4B0E6530"/>
    <w:rsid w:val="4B1239C0"/>
    <w:rsid w:val="4B242322"/>
    <w:rsid w:val="4B271D17"/>
    <w:rsid w:val="4B283014"/>
    <w:rsid w:val="4B2D63B8"/>
    <w:rsid w:val="4B3621F1"/>
    <w:rsid w:val="4B416D18"/>
    <w:rsid w:val="4B422162"/>
    <w:rsid w:val="4B442F4A"/>
    <w:rsid w:val="4B446F88"/>
    <w:rsid w:val="4B495748"/>
    <w:rsid w:val="4B501995"/>
    <w:rsid w:val="4B5517A3"/>
    <w:rsid w:val="4B707C90"/>
    <w:rsid w:val="4B7268C0"/>
    <w:rsid w:val="4B765BBC"/>
    <w:rsid w:val="4B7F017B"/>
    <w:rsid w:val="4BA7122B"/>
    <w:rsid w:val="4BA8410F"/>
    <w:rsid w:val="4BAE4439"/>
    <w:rsid w:val="4BAF3516"/>
    <w:rsid w:val="4BBA244A"/>
    <w:rsid w:val="4BC029E0"/>
    <w:rsid w:val="4BE54A5D"/>
    <w:rsid w:val="4BE853A5"/>
    <w:rsid w:val="4BEC1FF3"/>
    <w:rsid w:val="4BED3E5A"/>
    <w:rsid w:val="4BF571A5"/>
    <w:rsid w:val="4BF91035"/>
    <w:rsid w:val="4C004CA9"/>
    <w:rsid w:val="4C1B05DD"/>
    <w:rsid w:val="4C1D170A"/>
    <w:rsid w:val="4C304A77"/>
    <w:rsid w:val="4C356322"/>
    <w:rsid w:val="4C6517AC"/>
    <w:rsid w:val="4C8D07D9"/>
    <w:rsid w:val="4C9710E3"/>
    <w:rsid w:val="4CA10D31"/>
    <w:rsid w:val="4CB368C0"/>
    <w:rsid w:val="4CC90409"/>
    <w:rsid w:val="4CC9433A"/>
    <w:rsid w:val="4CCA6992"/>
    <w:rsid w:val="4CCC7F0B"/>
    <w:rsid w:val="4CCE2DBD"/>
    <w:rsid w:val="4CD95835"/>
    <w:rsid w:val="4CE93255"/>
    <w:rsid w:val="4CEC6F88"/>
    <w:rsid w:val="4CF41943"/>
    <w:rsid w:val="4D144759"/>
    <w:rsid w:val="4D190C1B"/>
    <w:rsid w:val="4D1E2A63"/>
    <w:rsid w:val="4D1F5594"/>
    <w:rsid w:val="4D26539F"/>
    <w:rsid w:val="4D383937"/>
    <w:rsid w:val="4D3B60DF"/>
    <w:rsid w:val="4D3E3036"/>
    <w:rsid w:val="4D441326"/>
    <w:rsid w:val="4D457F5D"/>
    <w:rsid w:val="4D4847EF"/>
    <w:rsid w:val="4D494157"/>
    <w:rsid w:val="4D4F2668"/>
    <w:rsid w:val="4D526B6E"/>
    <w:rsid w:val="4D55375F"/>
    <w:rsid w:val="4D571084"/>
    <w:rsid w:val="4D7E1E7C"/>
    <w:rsid w:val="4D843C9C"/>
    <w:rsid w:val="4D8B44D2"/>
    <w:rsid w:val="4D9F4A2C"/>
    <w:rsid w:val="4DB725B3"/>
    <w:rsid w:val="4DC634BA"/>
    <w:rsid w:val="4DC92741"/>
    <w:rsid w:val="4DCB31C9"/>
    <w:rsid w:val="4DCB7509"/>
    <w:rsid w:val="4DDC16A5"/>
    <w:rsid w:val="4DEA1626"/>
    <w:rsid w:val="4DED5A37"/>
    <w:rsid w:val="4DEE06A6"/>
    <w:rsid w:val="4DFC764C"/>
    <w:rsid w:val="4E236E4F"/>
    <w:rsid w:val="4E3C57EE"/>
    <w:rsid w:val="4E3D0630"/>
    <w:rsid w:val="4E444597"/>
    <w:rsid w:val="4E56586B"/>
    <w:rsid w:val="4E5774C5"/>
    <w:rsid w:val="4E7229C3"/>
    <w:rsid w:val="4E7B0D62"/>
    <w:rsid w:val="4E7B47FA"/>
    <w:rsid w:val="4E8351B2"/>
    <w:rsid w:val="4E9808B6"/>
    <w:rsid w:val="4EAC36E2"/>
    <w:rsid w:val="4EC13742"/>
    <w:rsid w:val="4EC342C5"/>
    <w:rsid w:val="4EC81D8C"/>
    <w:rsid w:val="4ED35002"/>
    <w:rsid w:val="4ED9326A"/>
    <w:rsid w:val="4EE02DCC"/>
    <w:rsid w:val="4EE07055"/>
    <w:rsid w:val="4EE151F5"/>
    <w:rsid w:val="4EE4617A"/>
    <w:rsid w:val="4EE61458"/>
    <w:rsid w:val="4EEE4A81"/>
    <w:rsid w:val="4EFA526B"/>
    <w:rsid w:val="4F147FCE"/>
    <w:rsid w:val="4F2272E3"/>
    <w:rsid w:val="4F3A5A70"/>
    <w:rsid w:val="4F3C3955"/>
    <w:rsid w:val="4F426751"/>
    <w:rsid w:val="4F4C301A"/>
    <w:rsid w:val="4F5215D3"/>
    <w:rsid w:val="4F573F3A"/>
    <w:rsid w:val="4F6578C5"/>
    <w:rsid w:val="4F6676DD"/>
    <w:rsid w:val="4F6B5159"/>
    <w:rsid w:val="4F761AB8"/>
    <w:rsid w:val="4F895FB3"/>
    <w:rsid w:val="4F977790"/>
    <w:rsid w:val="4F9B727E"/>
    <w:rsid w:val="4FB17772"/>
    <w:rsid w:val="4FBA295A"/>
    <w:rsid w:val="4FBF2665"/>
    <w:rsid w:val="4FCD0A85"/>
    <w:rsid w:val="4FD14DD0"/>
    <w:rsid w:val="4FE5515B"/>
    <w:rsid w:val="4FE60FD1"/>
    <w:rsid w:val="4FEB3D90"/>
    <w:rsid w:val="4FEE64B2"/>
    <w:rsid w:val="4FF32A1A"/>
    <w:rsid w:val="4FF46EDA"/>
    <w:rsid w:val="4FFB42A0"/>
    <w:rsid w:val="4FFC1223"/>
    <w:rsid w:val="500860A2"/>
    <w:rsid w:val="50091DC6"/>
    <w:rsid w:val="500B54B4"/>
    <w:rsid w:val="500F2EA3"/>
    <w:rsid w:val="501308B4"/>
    <w:rsid w:val="501B67D8"/>
    <w:rsid w:val="50261220"/>
    <w:rsid w:val="502D21EE"/>
    <w:rsid w:val="503851C4"/>
    <w:rsid w:val="503C6635"/>
    <w:rsid w:val="50437562"/>
    <w:rsid w:val="50532B7E"/>
    <w:rsid w:val="505924F3"/>
    <w:rsid w:val="505C664D"/>
    <w:rsid w:val="506E0BDB"/>
    <w:rsid w:val="50806385"/>
    <w:rsid w:val="508C2336"/>
    <w:rsid w:val="50914F3C"/>
    <w:rsid w:val="50991CA5"/>
    <w:rsid w:val="509B5C7C"/>
    <w:rsid w:val="50AE21CD"/>
    <w:rsid w:val="50B2404C"/>
    <w:rsid w:val="50B576FA"/>
    <w:rsid w:val="50BD130B"/>
    <w:rsid w:val="50C12B46"/>
    <w:rsid w:val="50C2570B"/>
    <w:rsid w:val="50C4689B"/>
    <w:rsid w:val="50C82E97"/>
    <w:rsid w:val="50D41AEF"/>
    <w:rsid w:val="50DC728E"/>
    <w:rsid w:val="50E5495B"/>
    <w:rsid w:val="50ED4919"/>
    <w:rsid w:val="51054EFA"/>
    <w:rsid w:val="51110A9F"/>
    <w:rsid w:val="511E6A46"/>
    <w:rsid w:val="512A1BEB"/>
    <w:rsid w:val="512B513A"/>
    <w:rsid w:val="51351698"/>
    <w:rsid w:val="513757E3"/>
    <w:rsid w:val="51396CB8"/>
    <w:rsid w:val="513E782E"/>
    <w:rsid w:val="514967EF"/>
    <w:rsid w:val="514A60F1"/>
    <w:rsid w:val="514D3A87"/>
    <w:rsid w:val="514E0C45"/>
    <w:rsid w:val="51503D80"/>
    <w:rsid w:val="515330E3"/>
    <w:rsid w:val="51591101"/>
    <w:rsid w:val="516309C2"/>
    <w:rsid w:val="51631F60"/>
    <w:rsid w:val="51663EC6"/>
    <w:rsid w:val="51796F60"/>
    <w:rsid w:val="51810586"/>
    <w:rsid w:val="51890A1D"/>
    <w:rsid w:val="518D31EE"/>
    <w:rsid w:val="519E290B"/>
    <w:rsid w:val="51A21960"/>
    <w:rsid w:val="51A761EE"/>
    <w:rsid w:val="51B72647"/>
    <w:rsid w:val="51C45135"/>
    <w:rsid w:val="51C8700C"/>
    <w:rsid w:val="51CB500B"/>
    <w:rsid w:val="51DC7594"/>
    <w:rsid w:val="51DD654A"/>
    <w:rsid w:val="51DE4BDE"/>
    <w:rsid w:val="51E17E73"/>
    <w:rsid w:val="51E732AE"/>
    <w:rsid w:val="51E73651"/>
    <w:rsid w:val="51EA1C50"/>
    <w:rsid w:val="51EA597E"/>
    <w:rsid w:val="51F14FCF"/>
    <w:rsid w:val="51FA53DD"/>
    <w:rsid w:val="523575DF"/>
    <w:rsid w:val="52362157"/>
    <w:rsid w:val="523623C2"/>
    <w:rsid w:val="524015EB"/>
    <w:rsid w:val="524134F1"/>
    <w:rsid w:val="52413B0E"/>
    <w:rsid w:val="52432384"/>
    <w:rsid w:val="524521C9"/>
    <w:rsid w:val="524C2216"/>
    <w:rsid w:val="524F5EB6"/>
    <w:rsid w:val="5253261E"/>
    <w:rsid w:val="52541C00"/>
    <w:rsid w:val="525C0D2F"/>
    <w:rsid w:val="525E7BD5"/>
    <w:rsid w:val="52757651"/>
    <w:rsid w:val="527D7BB2"/>
    <w:rsid w:val="528C0600"/>
    <w:rsid w:val="528C3A7D"/>
    <w:rsid w:val="528E0853"/>
    <w:rsid w:val="529E625E"/>
    <w:rsid w:val="529F4075"/>
    <w:rsid w:val="52AA43E7"/>
    <w:rsid w:val="52AC0300"/>
    <w:rsid w:val="52AD7835"/>
    <w:rsid w:val="52B66148"/>
    <w:rsid w:val="52BB2C6E"/>
    <w:rsid w:val="52BC5EA7"/>
    <w:rsid w:val="52BD423B"/>
    <w:rsid w:val="52C537A8"/>
    <w:rsid w:val="52D61D2E"/>
    <w:rsid w:val="52E15BFD"/>
    <w:rsid w:val="52EB304E"/>
    <w:rsid w:val="53130538"/>
    <w:rsid w:val="532603F8"/>
    <w:rsid w:val="53315891"/>
    <w:rsid w:val="53412DB2"/>
    <w:rsid w:val="5344648F"/>
    <w:rsid w:val="53467ACF"/>
    <w:rsid w:val="53481C31"/>
    <w:rsid w:val="534933B2"/>
    <w:rsid w:val="534B5B64"/>
    <w:rsid w:val="535719EF"/>
    <w:rsid w:val="5357419B"/>
    <w:rsid w:val="53574985"/>
    <w:rsid w:val="535E0B67"/>
    <w:rsid w:val="53614F61"/>
    <w:rsid w:val="53685A67"/>
    <w:rsid w:val="536E7346"/>
    <w:rsid w:val="537271C4"/>
    <w:rsid w:val="538458B0"/>
    <w:rsid w:val="538A3562"/>
    <w:rsid w:val="538A623E"/>
    <w:rsid w:val="539C699F"/>
    <w:rsid w:val="539E5F0E"/>
    <w:rsid w:val="53A521BC"/>
    <w:rsid w:val="53A663BE"/>
    <w:rsid w:val="53B23EDC"/>
    <w:rsid w:val="53BA5C06"/>
    <w:rsid w:val="53BF7ACC"/>
    <w:rsid w:val="53C7496F"/>
    <w:rsid w:val="53D16E30"/>
    <w:rsid w:val="53D77FA5"/>
    <w:rsid w:val="53E310A0"/>
    <w:rsid w:val="53EA6B51"/>
    <w:rsid w:val="53ED493E"/>
    <w:rsid w:val="53F41381"/>
    <w:rsid w:val="5404543E"/>
    <w:rsid w:val="540B50DB"/>
    <w:rsid w:val="540B516F"/>
    <w:rsid w:val="540B53F7"/>
    <w:rsid w:val="541054E7"/>
    <w:rsid w:val="541969E6"/>
    <w:rsid w:val="542C57E9"/>
    <w:rsid w:val="54396144"/>
    <w:rsid w:val="543A4907"/>
    <w:rsid w:val="545475B1"/>
    <w:rsid w:val="54582233"/>
    <w:rsid w:val="545C2D2A"/>
    <w:rsid w:val="546940F5"/>
    <w:rsid w:val="548415FE"/>
    <w:rsid w:val="54914659"/>
    <w:rsid w:val="549B3FDC"/>
    <w:rsid w:val="549E5F73"/>
    <w:rsid w:val="54A63456"/>
    <w:rsid w:val="54B54386"/>
    <w:rsid w:val="54B969E6"/>
    <w:rsid w:val="54C30E4A"/>
    <w:rsid w:val="54CE2D32"/>
    <w:rsid w:val="54DD1D9D"/>
    <w:rsid w:val="54E01730"/>
    <w:rsid w:val="54E51495"/>
    <w:rsid w:val="54EC08E4"/>
    <w:rsid w:val="54EE6C8C"/>
    <w:rsid w:val="54F24F13"/>
    <w:rsid w:val="55000000"/>
    <w:rsid w:val="5500230F"/>
    <w:rsid w:val="55090D35"/>
    <w:rsid w:val="550E0298"/>
    <w:rsid w:val="55175791"/>
    <w:rsid w:val="551940AB"/>
    <w:rsid w:val="55417ACF"/>
    <w:rsid w:val="55443771"/>
    <w:rsid w:val="554F0D02"/>
    <w:rsid w:val="55525FCC"/>
    <w:rsid w:val="55693ADE"/>
    <w:rsid w:val="55696E34"/>
    <w:rsid w:val="55702759"/>
    <w:rsid w:val="55704A7E"/>
    <w:rsid w:val="557071B9"/>
    <w:rsid w:val="5582770F"/>
    <w:rsid w:val="55927663"/>
    <w:rsid w:val="559D2106"/>
    <w:rsid w:val="55A64957"/>
    <w:rsid w:val="55B04055"/>
    <w:rsid w:val="55BB575B"/>
    <w:rsid w:val="55BF3F06"/>
    <w:rsid w:val="55C1682B"/>
    <w:rsid w:val="55D95DC5"/>
    <w:rsid w:val="55FC79F3"/>
    <w:rsid w:val="56193566"/>
    <w:rsid w:val="562D146C"/>
    <w:rsid w:val="562E1373"/>
    <w:rsid w:val="563F3E75"/>
    <w:rsid w:val="5644700A"/>
    <w:rsid w:val="56525823"/>
    <w:rsid w:val="56590D5F"/>
    <w:rsid w:val="56597D44"/>
    <w:rsid w:val="566253AD"/>
    <w:rsid w:val="566717FB"/>
    <w:rsid w:val="566823A6"/>
    <w:rsid w:val="566B62A7"/>
    <w:rsid w:val="5676101C"/>
    <w:rsid w:val="567A5248"/>
    <w:rsid w:val="567E73B4"/>
    <w:rsid w:val="568122E2"/>
    <w:rsid w:val="568C2B78"/>
    <w:rsid w:val="56A7510C"/>
    <w:rsid w:val="56AA3750"/>
    <w:rsid w:val="56AC3E47"/>
    <w:rsid w:val="56B07557"/>
    <w:rsid w:val="56BA0E89"/>
    <w:rsid w:val="56C500AD"/>
    <w:rsid w:val="56D858A6"/>
    <w:rsid w:val="56D937A7"/>
    <w:rsid w:val="56DD24E3"/>
    <w:rsid w:val="56DD2A92"/>
    <w:rsid w:val="56ED2E72"/>
    <w:rsid w:val="56EF4FC6"/>
    <w:rsid w:val="56F11733"/>
    <w:rsid w:val="56FD5545"/>
    <w:rsid w:val="57014D7E"/>
    <w:rsid w:val="57016D19"/>
    <w:rsid w:val="57096DD9"/>
    <w:rsid w:val="570A2544"/>
    <w:rsid w:val="572145C7"/>
    <w:rsid w:val="57276389"/>
    <w:rsid w:val="5734577A"/>
    <w:rsid w:val="57416F17"/>
    <w:rsid w:val="57426D8C"/>
    <w:rsid w:val="57436473"/>
    <w:rsid w:val="5745596C"/>
    <w:rsid w:val="575A7D62"/>
    <w:rsid w:val="576E7C75"/>
    <w:rsid w:val="577B28FE"/>
    <w:rsid w:val="578544FE"/>
    <w:rsid w:val="578C02E7"/>
    <w:rsid w:val="578E3FA8"/>
    <w:rsid w:val="57AD1A48"/>
    <w:rsid w:val="57B12A6A"/>
    <w:rsid w:val="57C54F8E"/>
    <w:rsid w:val="57C60312"/>
    <w:rsid w:val="57C80253"/>
    <w:rsid w:val="57CB1C56"/>
    <w:rsid w:val="57D665C3"/>
    <w:rsid w:val="57DF36AD"/>
    <w:rsid w:val="57E64772"/>
    <w:rsid w:val="57EB1D18"/>
    <w:rsid w:val="57EB2509"/>
    <w:rsid w:val="57F24B59"/>
    <w:rsid w:val="57F825E4"/>
    <w:rsid w:val="58013AEE"/>
    <w:rsid w:val="581763BF"/>
    <w:rsid w:val="5819389A"/>
    <w:rsid w:val="581E2898"/>
    <w:rsid w:val="58223B6D"/>
    <w:rsid w:val="582C18E2"/>
    <w:rsid w:val="583002B8"/>
    <w:rsid w:val="583332BC"/>
    <w:rsid w:val="583668E5"/>
    <w:rsid w:val="584A7840"/>
    <w:rsid w:val="58587972"/>
    <w:rsid w:val="585B49FE"/>
    <w:rsid w:val="58685A05"/>
    <w:rsid w:val="587125D0"/>
    <w:rsid w:val="587547ED"/>
    <w:rsid w:val="587C314A"/>
    <w:rsid w:val="588056C1"/>
    <w:rsid w:val="5889701B"/>
    <w:rsid w:val="588C35A7"/>
    <w:rsid w:val="588E6D09"/>
    <w:rsid w:val="58927C17"/>
    <w:rsid w:val="58966BDC"/>
    <w:rsid w:val="589850F9"/>
    <w:rsid w:val="589A6C7F"/>
    <w:rsid w:val="58A06D0A"/>
    <w:rsid w:val="58A12468"/>
    <w:rsid w:val="58AF2521"/>
    <w:rsid w:val="58AF73B0"/>
    <w:rsid w:val="58B52AAB"/>
    <w:rsid w:val="58B91834"/>
    <w:rsid w:val="58BE6BCC"/>
    <w:rsid w:val="58C776D3"/>
    <w:rsid w:val="58DC55F0"/>
    <w:rsid w:val="58E10BDE"/>
    <w:rsid w:val="58E27482"/>
    <w:rsid w:val="58EB32D8"/>
    <w:rsid w:val="58EF1D02"/>
    <w:rsid w:val="58FB7589"/>
    <w:rsid w:val="590F4568"/>
    <w:rsid w:val="59103CAB"/>
    <w:rsid w:val="59316881"/>
    <w:rsid w:val="59337B9C"/>
    <w:rsid w:val="59386D2C"/>
    <w:rsid w:val="593B508B"/>
    <w:rsid w:val="594B5F8B"/>
    <w:rsid w:val="594C6D51"/>
    <w:rsid w:val="595906EC"/>
    <w:rsid w:val="595D24CD"/>
    <w:rsid w:val="5969618C"/>
    <w:rsid w:val="596D0310"/>
    <w:rsid w:val="59805264"/>
    <w:rsid w:val="59810CC7"/>
    <w:rsid w:val="59883162"/>
    <w:rsid w:val="598929F1"/>
    <w:rsid w:val="598B0E76"/>
    <w:rsid w:val="599F65EA"/>
    <w:rsid w:val="59A91BBB"/>
    <w:rsid w:val="59AC0C45"/>
    <w:rsid w:val="59B718A6"/>
    <w:rsid w:val="59BC7821"/>
    <w:rsid w:val="59C214A3"/>
    <w:rsid w:val="59C6248A"/>
    <w:rsid w:val="59D838F5"/>
    <w:rsid w:val="59DB5585"/>
    <w:rsid w:val="59DD3792"/>
    <w:rsid w:val="59E1092F"/>
    <w:rsid w:val="5A016AB7"/>
    <w:rsid w:val="5A074243"/>
    <w:rsid w:val="5A0F182A"/>
    <w:rsid w:val="5A101E2C"/>
    <w:rsid w:val="5A126D51"/>
    <w:rsid w:val="5A1923E9"/>
    <w:rsid w:val="5A1A5E3F"/>
    <w:rsid w:val="5A2270FA"/>
    <w:rsid w:val="5A23434C"/>
    <w:rsid w:val="5A3E365C"/>
    <w:rsid w:val="5A424065"/>
    <w:rsid w:val="5A431CC2"/>
    <w:rsid w:val="5A5151CF"/>
    <w:rsid w:val="5A59307F"/>
    <w:rsid w:val="5A5A2236"/>
    <w:rsid w:val="5A734DB7"/>
    <w:rsid w:val="5A795D13"/>
    <w:rsid w:val="5A8E4803"/>
    <w:rsid w:val="5A963AA2"/>
    <w:rsid w:val="5A985A63"/>
    <w:rsid w:val="5A995CB3"/>
    <w:rsid w:val="5A9F2DCC"/>
    <w:rsid w:val="5AA662F3"/>
    <w:rsid w:val="5AAC07A1"/>
    <w:rsid w:val="5AB0039C"/>
    <w:rsid w:val="5AB246DC"/>
    <w:rsid w:val="5ABC71EA"/>
    <w:rsid w:val="5ABE2AB5"/>
    <w:rsid w:val="5AC14833"/>
    <w:rsid w:val="5AC16603"/>
    <w:rsid w:val="5AC62AEB"/>
    <w:rsid w:val="5AC67AF9"/>
    <w:rsid w:val="5AC75980"/>
    <w:rsid w:val="5AC96DF5"/>
    <w:rsid w:val="5ACB2303"/>
    <w:rsid w:val="5ACD2D08"/>
    <w:rsid w:val="5ACD41B5"/>
    <w:rsid w:val="5AD25599"/>
    <w:rsid w:val="5AF44837"/>
    <w:rsid w:val="5AF45919"/>
    <w:rsid w:val="5AF45F38"/>
    <w:rsid w:val="5AF70221"/>
    <w:rsid w:val="5AFB02F6"/>
    <w:rsid w:val="5AFE34D7"/>
    <w:rsid w:val="5B073193"/>
    <w:rsid w:val="5B081589"/>
    <w:rsid w:val="5B0F6FF4"/>
    <w:rsid w:val="5B187904"/>
    <w:rsid w:val="5B223A0C"/>
    <w:rsid w:val="5B231971"/>
    <w:rsid w:val="5B2C3A48"/>
    <w:rsid w:val="5B381E38"/>
    <w:rsid w:val="5B3948D1"/>
    <w:rsid w:val="5B3C1DC4"/>
    <w:rsid w:val="5B422ABC"/>
    <w:rsid w:val="5B4840AB"/>
    <w:rsid w:val="5B5B3B85"/>
    <w:rsid w:val="5B607CF8"/>
    <w:rsid w:val="5B615779"/>
    <w:rsid w:val="5B734C83"/>
    <w:rsid w:val="5B7466DE"/>
    <w:rsid w:val="5B780B34"/>
    <w:rsid w:val="5B7D6BE9"/>
    <w:rsid w:val="5B97304A"/>
    <w:rsid w:val="5BA31003"/>
    <w:rsid w:val="5BA4463F"/>
    <w:rsid w:val="5BB12F7A"/>
    <w:rsid w:val="5BB51980"/>
    <w:rsid w:val="5BBB2E23"/>
    <w:rsid w:val="5BC260DB"/>
    <w:rsid w:val="5BCA0BDD"/>
    <w:rsid w:val="5BCF3B39"/>
    <w:rsid w:val="5BE82147"/>
    <w:rsid w:val="5BE86170"/>
    <w:rsid w:val="5BF2445A"/>
    <w:rsid w:val="5BF43F58"/>
    <w:rsid w:val="5BFB1122"/>
    <w:rsid w:val="5C0E1FD7"/>
    <w:rsid w:val="5C144CE4"/>
    <w:rsid w:val="5C1A5DA1"/>
    <w:rsid w:val="5C271D88"/>
    <w:rsid w:val="5C291D25"/>
    <w:rsid w:val="5C2B720A"/>
    <w:rsid w:val="5C2E6049"/>
    <w:rsid w:val="5C314D30"/>
    <w:rsid w:val="5C352BE7"/>
    <w:rsid w:val="5C385041"/>
    <w:rsid w:val="5C40759A"/>
    <w:rsid w:val="5C4A319F"/>
    <w:rsid w:val="5C530585"/>
    <w:rsid w:val="5C6808E2"/>
    <w:rsid w:val="5C69062B"/>
    <w:rsid w:val="5C692729"/>
    <w:rsid w:val="5C762388"/>
    <w:rsid w:val="5C78104F"/>
    <w:rsid w:val="5C883FBD"/>
    <w:rsid w:val="5C922492"/>
    <w:rsid w:val="5C9757F6"/>
    <w:rsid w:val="5C995195"/>
    <w:rsid w:val="5C9E1C39"/>
    <w:rsid w:val="5CA7000F"/>
    <w:rsid w:val="5CB17477"/>
    <w:rsid w:val="5CB51A75"/>
    <w:rsid w:val="5CBE590A"/>
    <w:rsid w:val="5CC132A3"/>
    <w:rsid w:val="5CC853C9"/>
    <w:rsid w:val="5CD75D93"/>
    <w:rsid w:val="5CD856BB"/>
    <w:rsid w:val="5CDC4EEE"/>
    <w:rsid w:val="5CE17DA9"/>
    <w:rsid w:val="5CFB4FF0"/>
    <w:rsid w:val="5D000934"/>
    <w:rsid w:val="5D067CA8"/>
    <w:rsid w:val="5D070148"/>
    <w:rsid w:val="5D110DC3"/>
    <w:rsid w:val="5D111C3D"/>
    <w:rsid w:val="5D182B1D"/>
    <w:rsid w:val="5D255802"/>
    <w:rsid w:val="5D3E3EEE"/>
    <w:rsid w:val="5D41237D"/>
    <w:rsid w:val="5D417F39"/>
    <w:rsid w:val="5D4C27C3"/>
    <w:rsid w:val="5D5E2934"/>
    <w:rsid w:val="5D715D6A"/>
    <w:rsid w:val="5D731F5E"/>
    <w:rsid w:val="5D732598"/>
    <w:rsid w:val="5D7C577C"/>
    <w:rsid w:val="5D810FF7"/>
    <w:rsid w:val="5D820C77"/>
    <w:rsid w:val="5D9072C5"/>
    <w:rsid w:val="5D9806DD"/>
    <w:rsid w:val="5D9C1B32"/>
    <w:rsid w:val="5DA03AAA"/>
    <w:rsid w:val="5DA5222C"/>
    <w:rsid w:val="5DA57F16"/>
    <w:rsid w:val="5DAD1ABB"/>
    <w:rsid w:val="5DB52FEB"/>
    <w:rsid w:val="5DB827DC"/>
    <w:rsid w:val="5DBF01B2"/>
    <w:rsid w:val="5DE81CA0"/>
    <w:rsid w:val="5DE84F6D"/>
    <w:rsid w:val="5DF771D2"/>
    <w:rsid w:val="5DFF4E11"/>
    <w:rsid w:val="5E022499"/>
    <w:rsid w:val="5E132413"/>
    <w:rsid w:val="5E3F4158"/>
    <w:rsid w:val="5E4B3BDA"/>
    <w:rsid w:val="5E501CB6"/>
    <w:rsid w:val="5E551CB1"/>
    <w:rsid w:val="5E5C13BD"/>
    <w:rsid w:val="5E6B2982"/>
    <w:rsid w:val="5E6E2CFF"/>
    <w:rsid w:val="5E7F421F"/>
    <w:rsid w:val="5E8D545D"/>
    <w:rsid w:val="5E9C7467"/>
    <w:rsid w:val="5EAA4275"/>
    <w:rsid w:val="5EAC0775"/>
    <w:rsid w:val="5EAE25C0"/>
    <w:rsid w:val="5EC36C60"/>
    <w:rsid w:val="5ECA27B4"/>
    <w:rsid w:val="5ED5712F"/>
    <w:rsid w:val="5ED660A5"/>
    <w:rsid w:val="5EDA14CD"/>
    <w:rsid w:val="5EDE3A5A"/>
    <w:rsid w:val="5EDF69B5"/>
    <w:rsid w:val="5EE117C3"/>
    <w:rsid w:val="5EE22E5C"/>
    <w:rsid w:val="5EE771AD"/>
    <w:rsid w:val="5EE83C5D"/>
    <w:rsid w:val="5EF4076A"/>
    <w:rsid w:val="5EF41A5B"/>
    <w:rsid w:val="5F0E45F7"/>
    <w:rsid w:val="5F1229B7"/>
    <w:rsid w:val="5F1355EC"/>
    <w:rsid w:val="5F141C44"/>
    <w:rsid w:val="5F1624CD"/>
    <w:rsid w:val="5F21636C"/>
    <w:rsid w:val="5F236614"/>
    <w:rsid w:val="5F236BB4"/>
    <w:rsid w:val="5F250090"/>
    <w:rsid w:val="5F287727"/>
    <w:rsid w:val="5F312F3C"/>
    <w:rsid w:val="5F360308"/>
    <w:rsid w:val="5F475224"/>
    <w:rsid w:val="5F5F0679"/>
    <w:rsid w:val="5F657984"/>
    <w:rsid w:val="5F6C6376"/>
    <w:rsid w:val="5F7643DD"/>
    <w:rsid w:val="5F7A3C40"/>
    <w:rsid w:val="5F7F1DE5"/>
    <w:rsid w:val="5F8800C7"/>
    <w:rsid w:val="5F8C0F0B"/>
    <w:rsid w:val="5F8F2414"/>
    <w:rsid w:val="5FA74036"/>
    <w:rsid w:val="5FB12337"/>
    <w:rsid w:val="5FB17C00"/>
    <w:rsid w:val="5FB47111"/>
    <w:rsid w:val="5FBA01F0"/>
    <w:rsid w:val="5FBB22C5"/>
    <w:rsid w:val="5FBB7B1C"/>
    <w:rsid w:val="5FC559AE"/>
    <w:rsid w:val="5FC63822"/>
    <w:rsid w:val="5FD46EDC"/>
    <w:rsid w:val="5FDA78B6"/>
    <w:rsid w:val="5FE1764F"/>
    <w:rsid w:val="5FE955A8"/>
    <w:rsid w:val="600717A3"/>
    <w:rsid w:val="600A583F"/>
    <w:rsid w:val="600F3FED"/>
    <w:rsid w:val="601024D0"/>
    <w:rsid w:val="601D6B37"/>
    <w:rsid w:val="60382C1B"/>
    <w:rsid w:val="6039124D"/>
    <w:rsid w:val="603E63E2"/>
    <w:rsid w:val="60407CB6"/>
    <w:rsid w:val="604837CA"/>
    <w:rsid w:val="605249BB"/>
    <w:rsid w:val="605666D1"/>
    <w:rsid w:val="605B267C"/>
    <w:rsid w:val="60641767"/>
    <w:rsid w:val="606C71F5"/>
    <w:rsid w:val="60710045"/>
    <w:rsid w:val="60710C9D"/>
    <w:rsid w:val="608215E4"/>
    <w:rsid w:val="60850510"/>
    <w:rsid w:val="6086345B"/>
    <w:rsid w:val="60915304"/>
    <w:rsid w:val="6094061D"/>
    <w:rsid w:val="609943D1"/>
    <w:rsid w:val="609C21CA"/>
    <w:rsid w:val="60B476E5"/>
    <w:rsid w:val="60DA41F1"/>
    <w:rsid w:val="60E43A6D"/>
    <w:rsid w:val="60E65A85"/>
    <w:rsid w:val="60E8234E"/>
    <w:rsid w:val="60EB63E7"/>
    <w:rsid w:val="60EF218A"/>
    <w:rsid w:val="60F11148"/>
    <w:rsid w:val="60F66D6E"/>
    <w:rsid w:val="61014355"/>
    <w:rsid w:val="61015F7C"/>
    <w:rsid w:val="61145200"/>
    <w:rsid w:val="611F4651"/>
    <w:rsid w:val="61211F5C"/>
    <w:rsid w:val="612C185C"/>
    <w:rsid w:val="613877D7"/>
    <w:rsid w:val="61402C9C"/>
    <w:rsid w:val="6145024C"/>
    <w:rsid w:val="61526439"/>
    <w:rsid w:val="61531410"/>
    <w:rsid w:val="617E27F2"/>
    <w:rsid w:val="617E5A29"/>
    <w:rsid w:val="619D7DFA"/>
    <w:rsid w:val="61B6570E"/>
    <w:rsid w:val="61B81AEB"/>
    <w:rsid w:val="61BD2444"/>
    <w:rsid w:val="61DF0691"/>
    <w:rsid w:val="61E31488"/>
    <w:rsid w:val="61EC3EA2"/>
    <w:rsid w:val="61F62D6C"/>
    <w:rsid w:val="61FF16BE"/>
    <w:rsid w:val="620849C4"/>
    <w:rsid w:val="62092275"/>
    <w:rsid w:val="621B5E82"/>
    <w:rsid w:val="62200A0C"/>
    <w:rsid w:val="622113B3"/>
    <w:rsid w:val="622F005E"/>
    <w:rsid w:val="622F5CEC"/>
    <w:rsid w:val="6235528F"/>
    <w:rsid w:val="623A6287"/>
    <w:rsid w:val="623C7661"/>
    <w:rsid w:val="624064A0"/>
    <w:rsid w:val="62484948"/>
    <w:rsid w:val="62491F52"/>
    <w:rsid w:val="62531DD3"/>
    <w:rsid w:val="62593943"/>
    <w:rsid w:val="626A68F7"/>
    <w:rsid w:val="626C6FCC"/>
    <w:rsid w:val="6276226D"/>
    <w:rsid w:val="62833B99"/>
    <w:rsid w:val="62897105"/>
    <w:rsid w:val="628D6163"/>
    <w:rsid w:val="6298763C"/>
    <w:rsid w:val="629F1364"/>
    <w:rsid w:val="62A4793C"/>
    <w:rsid w:val="62CD3727"/>
    <w:rsid w:val="62D44853"/>
    <w:rsid w:val="62F53F93"/>
    <w:rsid w:val="62FC46C9"/>
    <w:rsid w:val="630A6389"/>
    <w:rsid w:val="630D7415"/>
    <w:rsid w:val="630F72F9"/>
    <w:rsid w:val="63102F17"/>
    <w:rsid w:val="63115115"/>
    <w:rsid w:val="632F46C6"/>
    <w:rsid w:val="63372FA0"/>
    <w:rsid w:val="633856DB"/>
    <w:rsid w:val="633B3D5B"/>
    <w:rsid w:val="634039C7"/>
    <w:rsid w:val="634134BF"/>
    <w:rsid w:val="634A2CF1"/>
    <w:rsid w:val="634C2B25"/>
    <w:rsid w:val="6355709C"/>
    <w:rsid w:val="636306DD"/>
    <w:rsid w:val="636B47BD"/>
    <w:rsid w:val="636D26F8"/>
    <w:rsid w:val="637501FB"/>
    <w:rsid w:val="638C1DB5"/>
    <w:rsid w:val="638D6687"/>
    <w:rsid w:val="639E566C"/>
    <w:rsid w:val="63A2511C"/>
    <w:rsid w:val="63AA427E"/>
    <w:rsid w:val="63AC7344"/>
    <w:rsid w:val="63BB0AE8"/>
    <w:rsid w:val="63CA47A6"/>
    <w:rsid w:val="63CE29E8"/>
    <w:rsid w:val="63CE67D4"/>
    <w:rsid w:val="63E03362"/>
    <w:rsid w:val="63E12F85"/>
    <w:rsid w:val="63E40EC0"/>
    <w:rsid w:val="63EB43D9"/>
    <w:rsid w:val="64065D3F"/>
    <w:rsid w:val="64091E2A"/>
    <w:rsid w:val="64206AA8"/>
    <w:rsid w:val="642167B3"/>
    <w:rsid w:val="64236E3B"/>
    <w:rsid w:val="64384D48"/>
    <w:rsid w:val="64390351"/>
    <w:rsid w:val="64432D97"/>
    <w:rsid w:val="64470CD6"/>
    <w:rsid w:val="645D0AAC"/>
    <w:rsid w:val="646237BE"/>
    <w:rsid w:val="64694812"/>
    <w:rsid w:val="64735026"/>
    <w:rsid w:val="6477327D"/>
    <w:rsid w:val="64854C8F"/>
    <w:rsid w:val="64872D8B"/>
    <w:rsid w:val="648D1C5A"/>
    <w:rsid w:val="64901A9B"/>
    <w:rsid w:val="649737B2"/>
    <w:rsid w:val="649827C8"/>
    <w:rsid w:val="64994B66"/>
    <w:rsid w:val="64A03808"/>
    <w:rsid w:val="64A2745E"/>
    <w:rsid w:val="64A61BF9"/>
    <w:rsid w:val="64B37ADB"/>
    <w:rsid w:val="64B45B46"/>
    <w:rsid w:val="64B66ACB"/>
    <w:rsid w:val="64B70CC9"/>
    <w:rsid w:val="64B7482E"/>
    <w:rsid w:val="64B97A50"/>
    <w:rsid w:val="64BC0F49"/>
    <w:rsid w:val="64C4380F"/>
    <w:rsid w:val="64D336CA"/>
    <w:rsid w:val="64D553A9"/>
    <w:rsid w:val="64DA72EE"/>
    <w:rsid w:val="64E000E0"/>
    <w:rsid w:val="64E43D90"/>
    <w:rsid w:val="64E71DDF"/>
    <w:rsid w:val="64E828E9"/>
    <w:rsid w:val="64E90EAA"/>
    <w:rsid w:val="64FD39BC"/>
    <w:rsid w:val="65012F6A"/>
    <w:rsid w:val="65123962"/>
    <w:rsid w:val="65125F45"/>
    <w:rsid w:val="651844B5"/>
    <w:rsid w:val="651A6004"/>
    <w:rsid w:val="652D1F8D"/>
    <w:rsid w:val="652D70B6"/>
    <w:rsid w:val="6536073A"/>
    <w:rsid w:val="65397F9E"/>
    <w:rsid w:val="653F568F"/>
    <w:rsid w:val="654025D2"/>
    <w:rsid w:val="654B373B"/>
    <w:rsid w:val="654D2C1B"/>
    <w:rsid w:val="65564F37"/>
    <w:rsid w:val="65621162"/>
    <w:rsid w:val="656A3BB7"/>
    <w:rsid w:val="657B2550"/>
    <w:rsid w:val="65801239"/>
    <w:rsid w:val="65814685"/>
    <w:rsid w:val="65821697"/>
    <w:rsid w:val="658968A0"/>
    <w:rsid w:val="6592071E"/>
    <w:rsid w:val="659771E2"/>
    <w:rsid w:val="659E0366"/>
    <w:rsid w:val="65A044CA"/>
    <w:rsid w:val="65A617A8"/>
    <w:rsid w:val="65A7225F"/>
    <w:rsid w:val="65AE1137"/>
    <w:rsid w:val="65B86875"/>
    <w:rsid w:val="65C038B0"/>
    <w:rsid w:val="65C61B18"/>
    <w:rsid w:val="65C664A6"/>
    <w:rsid w:val="65C96521"/>
    <w:rsid w:val="65DB55A9"/>
    <w:rsid w:val="65E05762"/>
    <w:rsid w:val="65F34A94"/>
    <w:rsid w:val="65F51472"/>
    <w:rsid w:val="65F64725"/>
    <w:rsid w:val="65F667A3"/>
    <w:rsid w:val="65FE7DDA"/>
    <w:rsid w:val="66013830"/>
    <w:rsid w:val="66082BF5"/>
    <w:rsid w:val="660C3E64"/>
    <w:rsid w:val="66193861"/>
    <w:rsid w:val="661D1895"/>
    <w:rsid w:val="66271B8A"/>
    <w:rsid w:val="66285D16"/>
    <w:rsid w:val="662F474B"/>
    <w:rsid w:val="66330D1A"/>
    <w:rsid w:val="663710F2"/>
    <w:rsid w:val="66555682"/>
    <w:rsid w:val="665E3E32"/>
    <w:rsid w:val="66670A10"/>
    <w:rsid w:val="66692667"/>
    <w:rsid w:val="666F4AF2"/>
    <w:rsid w:val="66803B38"/>
    <w:rsid w:val="668B4519"/>
    <w:rsid w:val="66903DEF"/>
    <w:rsid w:val="669476C8"/>
    <w:rsid w:val="66954F12"/>
    <w:rsid w:val="669D56F5"/>
    <w:rsid w:val="66A504F5"/>
    <w:rsid w:val="66A739F8"/>
    <w:rsid w:val="66BA3FC1"/>
    <w:rsid w:val="66C07859"/>
    <w:rsid w:val="66C12FE7"/>
    <w:rsid w:val="66C44126"/>
    <w:rsid w:val="66C44D66"/>
    <w:rsid w:val="66CC3139"/>
    <w:rsid w:val="66CC432C"/>
    <w:rsid w:val="66CC61B6"/>
    <w:rsid w:val="66CD3C37"/>
    <w:rsid w:val="66D16DBA"/>
    <w:rsid w:val="66D40290"/>
    <w:rsid w:val="66D53242"/>
    <w:rsid w:val="66D77D28"/>
    <w:rsid w:val="66DD3802"/>
    <w:rsid w:val="66E35DDB"/>
    <w:rsid w:val="66E46F79"/>
    <w:rsid w:val="66F36075"/>
    <w:rsid w:val="66F36DB7"/>
    <w:rsid w:val="67063EC2"/>
    <w:rsid w:val="6707484F"/>
    <w:rsid w:val="67155DDE"/>
    <w:rsid w:val="67162119"/>
    <w:rsid w:val="67252395"/>
    <w:rsid w:val="67292CCC"/>
    <w:rsid w:val="675734EC"/>
    <w:rsid w:val="675A3AAE"/>
    <w:rsid w:val="676B6412"/>
    <w:rsid w:val="677117DA"/>
    <w:rsid w:val="6772343D"/>
    <w:rsid w:val="6779191F"/>
    <w:rsid w:val="678F61DA"/>
    <w:rsid w:val="67975CD1"/>
    <w:rsid w:val="67996F4D"/>
    <w:rsid w:val="679D0A8D"/>
    <w:rsid w:val="67A10D1A"/>
    <w:rsid w:val="67A14B8C"/>
    <w:rsid w:val="67A352AE"/>
    <w:rsid w:val="67B25AC5"/>
    <w:rsid w:val="67B63BB5"/>
    <w:rsid w:val="67B6481E"/>
    <w:rsid w:val="67C71D38"/>
    <w:rsid w:val="67C857C8"/>
    <w:rsid w:val="67DE323C"/>
    <w:rsid w:val="67E40051"/>
    <w:rsid w:val="67EA0B8C"/>
    <w:rsid w:val="67EA7F13"/>
    <w:rsid w:val="67F07212"/>
    <w:rsid w:val="67F60CB9"/>
    <w:rsid w:val="67F76E46"/>
    <w:rsid w:val="67FD7AFC"/>
    <w:rsid w:val="67FE3FA9"/>
    <w:rsid w:val="680718E8"/>
    <w:rsid w:val="680851DB"/>
    <w:rsid w:val="680C4FAD"/>
    <w:rsid w:val="680E1760"/>
    <w:rsid w:val="68207D97"/>
    <w:rsid w:val="68251724"/>
    <w:rsid w:val="682E7887"/>
    <w:rsid w:val="68323C20"/>
    <w:rsid w:val="683511B4"/>
    <w:rsid w:val="68382DD6"/>
    <w:rsid w:val="683E7999"/>
    <w:rsid w:val="684E2F62"/>
    <w:rsid w:val="68500F75"/>
    <w:rsid w:val="685F0B4B"/>
    <w:rsid w:val="686372CF"/>
    <w:rsid w:val="68666B18"/>
    <w:rsid w:val="686F567B"/>
    <w:rsid w:val="68702FE3"/>
    <w:rsid w:val="687410CD"/>
    <w:rsid w:val="68761F4E"/>
    <w:rsid w:val="68775534"/>
    <w:rsid w:val="68795138"/>
    <w:rsid w:val="688C17FD"/>
    <w:rsid w:val="68972D4E"/>
    <w:rsid w:val="6897717A"/>
    <w:rsid w:val="68AE6C22"/>
    <w:rsid w:val="68B061BE"/>
    <w:rsid w:val="68CB0078"/>
    <w:rsid w:val="68D41A23"/>
    <w:rsid w:val="68D46FDF"/>
    <w:rsid w:val="68D55C77"/>
    <w:rsid w:val="68D70D40"/>
    <w:rsid w:val="68DF1F85"/>
    <w:rsid w:val="68EE20D4"/>
    <w:rsid w:val="68F25B3B"/>
    <w:rsid w:val="68F71FC3"/>
    <w:rsid w:val="6905347D"/>
    <w:rsid w:val="690A3A1A"/>
    <w:rsid w:val="690A5CA3"/>
    <w:rsid w:val="69156D45"/>
    <w:rsid w:val="692A5C95"/>
    <w:rsid w:val="693C044B"/>
    <w:rsid w:val="693D7CF0"/>
    <w:rsid w:val="69454144"/>
    <w:rsid w:val="69454A98"/>
    <w:rsid w:val="694E287A"/>
    <w:rsid w:val="694F6069"/>
    <w:rsid w:val="69536B3E"/>
    <w:rsid w:val="69586E2B"/>
    <w:rsid w:val="696771A2"/>
    <w:rsid w:val="696E00D3"/>
    <w:rsid w:val="69772BAB"/>
    <w:rsid w:val="698450AA"/>
    <w:rsid w:val="69854192"/>
    <w:rsid w:val="698A59B3"/>
    <w:rsid w:val="698E42A8"/>
    <w:rsid w:val="698F0469"/>
    <w:rsid w:val="69A6010C"/>
    <w:rsid w:val="69AD626E"/>
    <w:rsid w:val="69B374C1"/>
    <w:rsid w:val="69C17213"/>
    <w:rsid w:val="69C53095"/>
    <w:rsid w:val="69DF659D"/>
    <w:rsid w:val="69DF7D42"/>
    <w:rsid w:val="69E13245"/>
    <w:rsid w:val="69E51C4B"/>
    <w:rsid w:val="69E945A1"/>
    <w:rsid w:val="69EF7FDC"/>
    <w:rsid w:val="69F460AA"/>
    <w:rsid w:val="69F743D4"/>
    <w:rsid w:val="69FF15CA"/>
    <w:rsid w:val="6A14267A"/>
    <w:rsid w:val="6A1741E3"/>
    <w:rsid w:val="6A1A1EAE"/>
    <w:rsid w:val="6A1E4142"/>
    <w:rsid w:val="6A314755"/>
    <w:rsid w:val="6A357FD0"/>
    <w:rsid w:val="6A36463E"/>
    <w:rsid w:val="6A4E4879"/>
    <w:rsid w:val="6A563204"/>
    <w:rsid w:val="6A5E1DBB"/>
    <w:rsid w:val="6A5E6092"/>
    <w:rsid w:val="6A757DA2"/>
    <w:rsid w:val="6A877344"/>
    <w:rsid w:val="6A977DA4"/>
    <w:rsid w:val="6A9C429E"/>
    <w:rsid w:val="6ABD2B05"/>
    <w:rsid w:val="6AC65CFC"/>
    <w:rsid w:val="6ACC70B8"/>
    <w:rsid w:val="6ACD08C4"/>
    <w:rsid w:val="6AD73720"/>
    <w:rsid w:val="6AD829B5"/>
    <w:rsid w:val="6ADC30DD"/>
    <w:rsid w:val="6AEC5239"/>
    <w:rsid w:val="6AF91C7B"/>
    <w:rsid w:val="6B0A248A"/>
    <w:rsid w:val="6B1A1552"/>
    <w:rsid w:val="6B1D4B2D"/>
    <w:rsid w:val="6B290FDE"/>
    <w:rsid w:val="6B2C2890"/>
    <w:rsid w:val="6B372911"/>
    <w:rsid w:val="6B435B02"/>
    <w:rsid w:val="6B5B35B8"/>
    <w:rsid w:val="6B670AC3"/>
    <w:rsid w:val="6B6D0E40"/>
    <w:rsid w:val="6B6D5E12"/>
    <w:rsid w:val="6B726454"/>
    <w:rsid w:val="6B740520"/>
    <w:rsid w:val="6B8C30FF"/>
    <w:rsid w:val="6BAF3560"/>
    <w:rsid w:val="6BB00315"/>
    <w:rsid w:val="6BB60AD9"/>
    <w:rsid w:val="6BBD5493"/>
    <w:rsid w:val="6BD87969"/>
    <w:rsid w:val="6BDD66F6"/>
    <w:rsid w:val="6BE10D92"/>
    <w:rsid w:val="6BE5190B"/>
    <w:rsid w:val="6BE85B99"/>
    <w:rsid w:val="6BED4872"/>
    <w:rsid w:val="6BED6C8C"/>
    <w:rsid w:val="6BFF7AB2"/>
    <w:rsid w:val="6C0439C3"/>
    <w:rsid w:val="6C044999"/>
    <w:rsid w:val="6C0D685E"/>
    <w:rsid w:val="6C18358D"/>
    <w:rsid w:val="6C210C89"/>
    <w:rsid w:val="6C2675A7"/>
    <w:rsid w:val="6C303D8F"/>
    <w:rsid w:val="6C437BC7"/>
    <w:rsid w:val="6C455EF4"/>
    <w:rsid w:val="6C466E4B"/>
    <w:rsid w:val="6C551A79"/>
    <w:rsid w:val="6C5703CB"/>
    <w:rsid w:val="6C57782E"/>
    <w:rsid w:val="6C5A2BC3"/>
    <w:rsid w:val="6C5C22D4"/>
    <w:rsid w:val="6C613925"/>
    <w:rsid w:val="6C634779"/>
    <w:rsid w:val="6C664E2B"/>
    <w:rsid w:val="6C7938D0"/>
    <w:rsid w:val="6C7F7210"/>
    <w:rsid w:val="6C8867B2"/>
    <w:rsid w:val="6C887455"/>
    <w:rsid w:val="6C9D3E0B"/>
    <w:rsid w:val="6C9D7320"/>
    <w:rsid w:val="6C9E5600"/>
    <w:rsid w:val="6CA87CEE"/>
    <w:rsid w:val="6CAB012C"/>
    <w:rsid w:val="6CAB26BA"/>
    <w:rsid w:val="6CBC5B71"/>
    <w:rsid w:val="6CD0616F"/>
    <w:rsid w:val="6CD61ACA"/>
    <w:rsid w:val="6CD86D1D"/>
    <w:rsid w:val="6CDD3B27"/>
    <w:rsid w:val="6CE07AAD"/>
    <w:rsid w:val="6CE64CAF"/>
    <w:rsid w:val="6CE86721"/>
    <w:rsid w:val="6CEA7383"/>
    <w:rsid w:val="6CF030AA"/>
    <w:rsid w:val="6CF523E8"/>
    <w:rsid w:val="6CF662F1"/>
    <w:rsid w:val="6D04035B"/>
    <w:rsid w:val="6D075FF0"/>
    <w:rsid w:val="6D095C70"/>
    <w:rsid w:val="6D162D88"/>
    <w:rsid w:val="6D186C9F"/>
    <w:rsid w:val="6D1F7E14"/>
    <w:rsid w:val="6D2B7A4F"/>
    <w:rsid w:val="6D2C531C"/>
    <w:rsid w:val="6D301A9E"/>
    <w:rsid w:val="6D3D1043"/>
    <w:rsid w:val="6D4421C5"/>
    <w:rsid w:val="6D450054"/>
    <w:rsid w:val="6D567F4F"/>
    <w:rsid w:val="6D612EAF"/>
    <w:rsid w:val="6D6804AB"/>
    <w:rsid w:val="6D696F8E"/>
    <w:rsid w:val="6D6B4986"/>
    <w:rsid w:val="6D6C6A31"/>
    <w:rsid w:val="6D721E1C"/>
    <w:rsid w:val="6D8656A3"/>
    <w:rsid w:val="6D8D1EA2"/>
    <w:rsid w:val="6D991CDC"/>
    <w:rsid w:val="6D9E7E7A"/>
    <w:rsid w:val="6DA26B9C"/>
    <w:rsid w:val="6DC25381"/>
    <w:rsid w:val="6DC25881"/>
    <w:rsid w:val="6DD16A22"/>
    <w:rsid w:val="6DDE15E9"/>
    <w:rsid w:val="6DE6584E"/>
    <w:rsid w:val="6DF221D8"/>
    <w:rsid w:val="6E0114EB"/>
    <w:rsid w:val="6E0C28D5"/>
    <w:rsid w:val="6E295FE4"/>
    <w:rsid w:val="6E2B3446"/>
    <w:rsid w:val="6E372E5F"/>
    <w:rsid w:val="6E374700"/>
    <w:rsid w:val="6E4252BC"/>
    <w:rsid w:val="6E4909F6"/>
    <w:rsid w:val="6E496253"/>
    <w:rsid w:val="6E575BB5"/>
    <w:rsid w:val="6E635793"/>
    <w:rsid w:val="6E751CBE"/>
    <w:rsid w:val="6E8C7B64"/>
    <w:rsid w:val="6E950B1D"/>
    <w:rsid w:val="6EAB26A2"/>
    <w:rsid w:val="6EAD716C"/>
    <w:rsid w:val="6EB5764D"/>
    <w:rsid w:val="6EBA6F91"/>
    <w:rsid w:val="6EBE3D4F"/>
    <w:rsid w:val="6EC0685A"/>
    <w:rsid w:val="6EC94C79"/>
    <w:rsid w:val="6EDD3BEA"/>
    <w:rsid w:val="6EE456BC"/>
    <w:rsid w:val="6EE65AEA"/>
    <w:rsid w:val="6EE674B0"/>
    <w:rsid w:val="6EE67780"/>
    <w:rsid w:val="6EEA6CBD"/>
    <w:rsid w:val="6F003E60"/>
    <w:rsid w:val="6F073538"/>
    <w:rsid w:val="6F0D035D"/>
    <w:rsid w:val="6F126794"/>
    <w:rsid w:val="6F1613F5"/>
    <w:rsid w:val="6F19397E"/>
    <w:rsid w:val="6F277354"/>
    <w:rsid w:val="6F2F4D50"/>
    <w:rsid w:val="6F2F55F5"/>
    <w:rsid w:val="6F345219"/>
    <w:rsid w:val="6F3E7AB8"/>
    <w:rsid w:val="6F5363F2"/>
    <w:rsid w:val="6F5D3119"/>
    <w:rsid w:val="6F5D76C0"/>
    <w:rsid w:val="6F6251B5"/>
    <w:rsid w:val="6F6325CC"/>
    <w:rsid w:val="6F662BF7"/>
    <w:rsid w:val="6F6A5013"/>
    <w:rsid w:val="6F6D38BA"/>
    <w:rsid w:val="6F7C5F08"/>
    <w:rsid w:val="6F814466"/>
    <w:rsid w:val="6F827FED"/>
    <w:rsid w:val="6F8B3CAC"/>
    <w:rsid w:val="6F92569A"/>
    <w:rsid w:val="6F9540A0"/>
    <w:rsid w:val="6FA14EC8"/>
    <w:rsid w:val="6FB13C99"/>
    <w:rsid w:val="6FBE39D0"/>
    <w:rsid w:val="6FC62024"/>
    <w:rsid w:val="6FCB0CF7"/>
    <w:rsid w:val="6FCE3AA7"/>
    <w:rsid w:val="6FCF4823"/>
    <w:rsid w:val="6FE449E5"/>
    <w:rsid w:val="6FE44B72"/>
    <w:rsid w:val="6FE803E7"/>
    <w:rsid w:val="6FED4AD7"/>
    <w:rsid w:val="6FFA6C8C"/>
    <w:rsid w:val="6FFB20F4"/>
    <w:rsid w:val="6FFD22F8"/>
    <w:rsid w:val="6FFE49C9"/>
    <w:rsid w:val="70125ABF"/>
    <w:rsid w:val="701B6033"/>
    <w:rsid w:val="701C3DC9"/>
    <w:rsid w:val="701D527E"/>
    <w:rsid w:val="7029469B"/>
    <w:rsid w:val="703439C0"/>
    <w:rsid w:val="703C29BB"/>
    <w:rsid w:val="703F088D"/>
    <w:rsid w:val="705279BE"/>
    <w:rsid w:val="705C05E6"/>
    <w:rsid w:val="707F2AF9"/>
    <w:rsid w:val="70824FE2"/>
    <w:rsid w:val="70996432"/>
    <w:rsid w:val="709B5B4C"/>
    <w:rsid w:val="709D3B28"/>
    <w:rsid w:val="709D4ACD"/>
    <w:rsid w:val="70A92153"/>
    <w:rsid w:val="70AE1715"/>
    <w:rsid w:val="70BB7429"/>
    <w:rsid w:val="70D2346E"/>
    <w:rsid w:val="70D51065"/>
    <w:rsid w:val="70D73492"/>
    <w:rsid w:val="70F03030"/>
    <w:rsid w:val="70F10902"/>
    <w:rsid w:val="70F314BE"/>
    <w:rsid w:val="70F33E66"/>
    <w:rsid w:val="71005BDC"/>
    <w:rsid w:val="7101018C"/>
    <w:rsid w:val="710B435F"/>
    <w:rsid w:val="7114387B"/>
    <w:rsid w:val="711444B9"/>
    <w:rsid w:val="712221DF"/>
    <w:rsid w:val="71291F93"/>
    <w:rsid w:val="71292AD7"/>
    <w:rsid w:val="71305134"/>
    <w:rsid w:val="713118C3"/>
    <w:rsid w:val="713774DD"/>
    <w:rsid w:val="713809EC"/>
    <w:rsid w:val="714B09BF"/>
    <w:rsid w:val="71561988"/>
    <w:rsid w:val="715C7723"/>
    <w:rsid w:val="715D1E08"/>
    <w:rsid w:val="717F0908"/>
    <w:rsid w:val="718B4E92"/>
    <w:rsid w:val="718B6064"/>
    <w:rsid w:val="718E4C3C"/>
    <w:rsid w:val="71A175F8"/>
    <w:rsid w:val="71BE72AA"/>
    <w:rsid w:val="71CA6E5A"/>
    <w:rsid w:val="71D1314A"/>
    <w:rsid w:val="71E22E02"/>
    <w:rsid w:val="71E87F61"/>
    <w:rsid w:val="72001E41"/>
    <w:rsid w:val="72021E76"/>
    <w:rsid w:val="72065760"/>
    <w:rsid w:val="720B498E"/>
    <w:rsid w:val="720C72D5"/>
    <w:rsid w:val="72247BD2"/>
    <w:rsid w:val="722A384C"/>
    <w:rsid w:val="72306C2D"/>
    <w:rsid w:val="7237336F"/>
    <w:rsid w:val="72484C40"/>
    <w:rsid w:val="724D1551"/>
    <w:rsid w:val="724F4299"/>
    <w:rsid w:val="7257540D"/>
    <w:rsid w:val="725865A6"/>
    <w:rsid w:val="72651C10"/>
    <w:rsid w:val="72752E54"/>
    <w:rsid w:val="7276585F"/>
    <w:rsid w:val="728206FB"/>
    <w:rsid w:val="72862D94"/>
    <w:rsid w:val="728A3336"/>
    <w:rsid w:val="7295118A"/>
    <w:rsid w:val="72B128D4"/>
    <w:rsid w:val="72BA3188"/>
    <w:rsid w:val="72C72C5E"/>
    <w:rsid w:val="72CA25A7"/>
    <w:rsid w:val="72CC0147"/>
    <w:rsid w:val="72CD5683"/>
    <w:rsid w:val="72D169EB"/>
    <w:rsid w:val="72D46B27"/>
    <w:rsid w:val="72EA4DF5"/>
    <w:rsid w:val="72F71C5D"/>
    <w:rsid w:val="72F94556"/>
    <w:rsid w:val="72FB4BFC"/>
    <w:rsid w:val="72FC4657"/>
    <w:rsid w:val="7302775A"/>
    <w:rsid w:val="73237AF4"/>
    <w:rsid w:val="732B16D5"/>
    <w:rsid w:val="73335508"/>
    <w:rsid w:val="7339123D"/>
    <w:rsid w:val="73420130"/>
    <w:rsid w:val="73422A5D"/>
    <w:rsid w:val="734844B1"/>
    <w:rsid w:val="734E3AA1"/>
    <w:rsid w:val="73513E1B"/>
    <w:rsid w:val="73553558"/>
    <w:rsid w:val="735E4456"/>
    <w:rsid w:val="73733D5F"/>
    <w:rsid w:val="73792979"/>
    <w:rsid w:val="737D6F09"/>
    <w:rsid w:val="73837CDD"/>
    <w:rsid w:val="739E61F0"/>
    <w:rsid w:val="73A80418"/>
    <w:rsid w:val="73AB1D8A"/>
    <w:rsid w:val="73B35966"/>
    <w:rsid w:val="73BF174A"/>
    <w:rsid w:val="73C702A8"/>
    <w:rsid w:val="73C9039C"/>
    <w:rsid w:val="73D91917"/>
    <w:rsid w:val="73DA7F50"/>
    <w:rsid w:val="73EA36A9"/>
    <w:rsid w:val="73EB3CBA"/>
    <w:rsid w:val="73EC4C4B"/>
    <w:rsid w:val="73ED2A40"/>
    <w:rsid w:val="73F13BB9"/>
    <w:rsid w:val="73F51320"/>
    <w:rsid w:val="73FE075C"/>
    <w:rsid w:val="74084F01"/>
    <w:rsid w:val="740853F9"/>
    <w:rsid w:val="74273A82"/>
    <w:rsid w:val="742A022D"/>
    <w:rsid w:val="74351DC6"/>
    <w:rsid w:val="74416257"/>
    <w:rsid w:val="74443649"/>
    <w:rsid w:val="74465FE2"/>
    <w:rsid w:val="74497280"/>
    <w:rsid w:val="744B0131"/>
    <w:rsid w:val="74501460"/>
    <w:rsid w:val="745617EF"/>
    <w:rsid w:val="745942EE"/>
    <w:rsid w:val="745D64AC"/>
    <w:rsid w:val="74670AE2"/>
    <w:rsid w:val="746A6253"/>
    <w:rsid w:val="746D493B"/>
    <w:rsid w:val="74780736"/>
    <w:rsid w:val="747B40B3"/>
    <w:rsid w:val="748423F5"/>
    <w:rsid w:val="748D6687"/>
    <w:rsid w:val="7490661F"/>
    <w:rsid w:val="74912461"/>
    <w:rsid w:val="74920F08"/>
    <w:rsid w:val="74925A7F"/>
    <w:rsid w:val="749375A5"/>
    <w:rsid w:val="7497597A"/>
    <w:rsid w:val="749F17FF"/>
    <w:rsid w:val="74A9053A"/>
    <w:rsid w:val="74C537CD"/>
    <w:rsid w:val="74C64A75"/>
    <w:rsid w:val="74C73601"/>
    <w:rsid w:val="74C76F39"/>
    <w:rsid w:val="74DC48C7"/>
    <w:rsid w:val="74DE4A1B"/>
    <w:rsid w:val="74ED595D"/>
    <w:rsid w:val="74F81DE0"/>
    <w:rsid w:val="74FD354B"/>
    <w:rsid w:val="750B2D32"/>
    <w:rsid w:val="750B499D"/>
    <w:rsid w:val="750E12B4"/>
    <w:rsid w:val="75226ABA"/>
    <w:rsid w:val="752A2448"/>
    <w:rsid w:val="75323DB7"/>
    <w:rsid w:val="75422286"/>
    <w:rsid w:val="75443C14"/>
    <w:rsid w:val="75545E87"/>
    <w:rsid w:val="755C1FC5"/>
    <w:rsid w:val="755F34A1"/>
    <w:rsid w:val="75653527"/>
    <w:rsid w:val="756A4197"/>
    <w:rsid w:val="756B1455"/>
    <w:rsid w:val="758A5C42"/>
    <w:rsid w:val="759141FA"/>
    <w:rsid w:val="75982A7C"/>
    <w:rsid w:val="759D4607"/>
    <w:rsid w:val="759E0562"/>
    <w:rsid w:val="75A014F1"/>
    <w:rsid w:val="75A03C69"/>
    <w:rsid w:val="75B310FD"/>
    <w:rsid w:val="75C23F3D"/>
    <w:rsid w:val="75C37A55"/>
    <w:rsid w:val="75C643CC"/>
    <w:rsid w:val="75CD388C"/>
    <w:rsid w:val="75DD2A72"/>
    <w:rsid w:val="75DD4CA3"/>
    <w:rsid w:val="75E94930"/>
    <w:rsid w:val="75EC135B"/>
    <w:rsid w:val="75FA5706"/>
    <w:rsid w:val="76035E8B"/>
    <w:rsid w:val="76043A66"/>
    <w:rsid w:val="760505D8"/>
    <w:rsid w:val="7606308B"/>
    <w:rsid w:val="760E20E8"/>
    <w:rsid w:val="76193962"/>
    <w:rsid w:val="761B3DF1"/>
    <w:rsid w:val="7620354A"/>
    <w:rsid w:val="762E09F1"/>
    <w:rsid w:val="76352FC9"/>
    <w:rsid w:val="763C5AD7"/>
    <w:rsid w:val="76466408"/>
    <w:rsid w:val="764D12A6"/>
    <w:rsid w:val="764D5A23"/>
    <w:rsid w:val="76575C28"/>
    <w:rsid w:val="765950B8"/>
    <w:rsid w:val="765E7676"/>
    <w:rsid w:val="7661145C"/>
    <w:rsid w:val="766311DD"/>
    <w:rsid w:val="766761EE"/>
    <w:rsid w:val="766B2A54"/>
    <w:rsid w:val="768C680C"/>
    <w:rsid w:val="768E3445"/>
    <w:rsid w:val="768E37B8"/>
    <w:rsid w:val="76921CAA"/>
    <w:rsid w:val="76B07CC5"/>
    <w:rsid w:val="76B2558E"/>
    <w:rsid w:val="76B973F0"/>
    <w:rsid w:val="76C46845"/>
    <w:rsid w:val="76D67139"/>
    <w:rsid w:val="76D8358A"/>
    <w:rsid w:val="76E4787C"/>
    <w:rsid w:val="76EB5F8F"/>
    <w:rsid w:val="771B55D8"/>
    <w:rsid w:val="771E7E2D"/>
    <w:rsid w:val="772E2B30"/>
    <w:rsid w:val="773D68D4"/>
    <w:rsid w:val="77517F24"/>
    <w:rsid w:val="775256B1"/>
    <w:rsid w:val="77533F49"/>
    <w:rsid w:val="77642CFA"/>
    <w:rsid w:val="77722BC7"/>
    <w:rsid w:val="777B49F0"/>
    <w:rsid w:val="7783412A"/>
    <w:rsid w:val="77837F8D"/>
    <w:rsid w:val="7785716B"/>
    <w:rsid w:val="77864C1B"/>
    <w:rsid w:val="77866913"/>
    <w:rsid w:val="779A0215"/>
    <w:rsid w:val="77A94066"/>
    <w:rsid w:val="77AE58AB"/>
    <w:rsid w:val="77B5608C"/>
    <w:rsid w:val="77C47796"/>
    <w:rsid w:val="77CB028B"/>
    <w:rsid w:val="77CB16FA"/>
    <w:rsid w:val="77CD4C1A"/>
    <w:rsid w:val="77D07B65"/>
    <w:rsid w:val="77E41298"/>
    <w:rsid w:val="77E458D2"/>
    <w:rsid w:val="77E5313F"/>
    <w:rsid w:val="77EB3560"/>
    <w:rsid w:val="77F7108B"/>
    <w:rsid w:val="77F73860"/>
    <w:rsid w:val="78122BED"/>
    <w:rsid w:val="781B455E"/>
    <w:rsid w:val="7830216B"/>
    <w:rsid w:val="7834727D"/>
    <w:rsid w:val="783D77CA"/>
    <w:rsid w:val="78412299"/>
    <w:rsid w:val="784611C5"/>
    <w:rsid w:val="78541454"/>
    <w:rsid w:val="78546EF1"/>
    <w:rsid w:val="78552BC3"/>
    <w:rsid w:val="785C02CB"/>
    <w:rsid w:val="786F0EA9"/>
    <w:rsid w:val="787D4DF8"/>
    <w:rsid w:val="78876A1F"/>
    <w:rsid w:val="7888314F"/>
    <w:rsid w:val="788926DE"/>
    <w:rsid w:val="788B1844"/>
    <w:rsid w:val="788C2A54"/>
    <w:rsid w:val="789127D7"/>
    <w:rsid w:val="78922570"/>
    <w:rsid w:val="78935D11"/>
    <w:rsid w:val="789366BF"/>
    <w:rsid w:val="78980D00"/>
    <w:rsid w:val="78A666D0"/>
    <w:rsid w:val="78AA59AF"/>
    <w:rsid w:val="78AF778B"/>
    <w:rsid w:val="78B2505D"/>
    <w:rsid w:val="78BA43F5"/>
    <w:rsid w:val="78C43EAD"/>
    <w:rsid w:val="78C82891"/>
    <w:rsid w:val="78D06645"/>
    <w:rsid w:val="78D56081"/>
    <w:rsid w:val="78F076AF"/>
    <w:rsid w:val="790351B9"/>
    <w:rsid w:val="790A7AA6"/>
    <w:rsid w:val="790F4045"/>
    <w:rsid w:val="79117830"/>
    <w:rsid w:val="7918499D"/>
    <w:rsid w:val="791B34A6"/>
    <w:rsid w:val="791F1A2A"/>
    <w:rsid w:val="792071E7"/>
    <w:rsid w:val="79297C21"/>
    <w:rsid w:val="793447FC"/>
    <w:rsid w:val="793A62C5"/>
    <w:rsid w:val="795C5810"/>
    <w:rsid w:val="796477A3"/>
    <w:rsid w:val="7991304D"/>
    <w:rsid w:val="79A36D46"/>
    <w:rsid w:val="79A97ADE"/>
    <w:rsid w:val="79AE2177"/>
    <w:rsid w:val="79B315B7"/>
    <w:rsid w:val="79B70E5D"/>
    <w:rsid w:val="79C27CC9"/>
    <w:rsid w:val="79CC7F63"/>
    <w:rsid w:val="79E228B4"/>
    <w:rsid w:val="79E37491"/>
    <w:rsid w:val="79E65289"/>
    <w:rsid w:val="79EC7573"/>
    <w:rsid w:val="79EE717E"/>
    <w:rsid w:val="79F01C30"/>
    <w:rsid w:val="79F109E5"/>
    <w:rsid w:val="79F26DF6"/>
    <w:rsid w:val="7A020C64"/>
    <w:rsid w:val="7A031C70"/>
    <w:rsid w:val="7A035716"/>
    <w:rsid w:val="7A0635C0"/>
    <w:rsid w:val="7A065CF1"/>
    <w:rsid w:val="7A1301CE"/>
    <w:rsid w:val="7A223678"/>
    <w:rsid w:val="7A31468C"/>
    <w:rsid w:val="7A4968C1"/>
    <w:rsid w:val="7A4E39B4"/>
    <w:rsid w:val="7A5A52BF"/>
    <w:rsid w:val="7A74675A"/>
    <w:rsid w:val="7A7C0586"/>
    <w:rsid w:val="7A7F6D6C"/>
    <w:rsid w:val="7A833B6D"/>
    <w:rsid w:val="7A8C5653"/>
    <w:rsid w:val="7A8E210F"/>
    <w:rsid w:val="7A9A2234"/>
    <w:rsid w:val="7A9B6BBD"/>
    <w:rsid w:val="7AB66F10"/>
    <w:rsid w:val="7ABA1FC3"/>
    <w:rsid w:val="7ABD54E1"/>
    <w:rsid w:val="7AC44123"/>
    <w:rsid w:val="7AC52DFE"/>
    <w:rsid w:val="7ACC1014"/>
    <w:rsid w:val="7ACE5EAA"/>
    <w:rsid w:val="7AD139B0"/>
    <w:rsid w:val="7AD26AC6"/>
    <w:rsid w:val="7AD33C0D"/>
    <w:rsid w:val="7AE16793"/>
    <w:rsid w:val="7AE57073"/>
    <w:rsid w:val="7AFC108C"/>
    <w:rsid w:val="7B002CE9"/>
    <w:rsid w:val="7B012F20"/>
    <w:rsid w:val="7B027FE0"/>
    <w:rsid w:val="7B042B43"/>
    <w:rsid w:val="7B110190"/>
    <w:rsid w:val="7B1A714C"/>
    <w:rsid w:val="7B1B726F"/>
    <w:rsid w:val="7B1B7885"/>
    <w:rsid w:val="7B212DBE"/>
    <w:rsid w:val="7B242713"/>
    <w:rsid w:val="7B256D40"/>
    <w:rsid w:val="7B29241E"/>
    <w:rsid w:val="7B2D4AF0"/>
    <w:rsid w:val="7B3E2FD7"/>
    <w:rsid w:val="7B445D9C"/>
    <w:rsid w:val="7B49325C"/>
    <w:rsid w:val="7B4F4BC0"/>
    <w:rsid w:val="7B5D4697"/>
    <w:rsid w:val="7B5F486C"/>
    <w:rsid w:val="7B600A20"/>
    <w:rsid w:val="7B6C5F92"/>
    <w:rsid w:val="7B720293"/>
    <w:rsid w:val="7B7E1B28"/>
    <w:rsid w:val="7B9378B2"/>
    <w:rsid w:val="7B995DDD"/>
    <w:rsid w:val="7BA32A18"/>
    <w:rsid w:val="7BAE32E2"/>
    <w:rsid w:val="7BB46153"/>
    <w:rsid w:val="7BB83828"/>
    <w:rsid w:val="7BBE1989"/>
    <w:rsid w:val="7BCC7C2F"/>
    <w:rsid w:val="7BD24525"/>
    <w:rsid w:val="7BD3113D"/>
    <w:rsid w:val="7BEE6BED"/>
    <w:rsid w:val="7BF53E80"/>
    <w:rsid w:val="7BF9281D"/>
    <w:rsid w:val="7BFD0F38"/>
    <w:rsid w:val="7C047802"/>
    <w:rsid w:val="7C054333"/>
    <w:rsid w:val="7C0E4386"/>
    <w:rsid w:val="7C12376C"/>
    <w:rsid w:val="7C245A30"/>
    <w:rsid w:val="7C27682D"/>
    <w:rsid w:val="7C2D5D0D"/>
    <w:rsid w:val="7C2E12E5"/>
    <w:rsid w:val="7C3408E1"/>
    <w:rsid w:val="7C3B613C"/>
    <w:rsid w:val="7C4505DA"/>
    <w:rsid w:val="7C485CA5"/>
    <w:rsid w:val="7C48601E"/>
    <w:rsid w:val="7C4E7F3D"/>
    <w:rsid w:val="7C550B3B"/>
    <w:rsid w:val="7C603532"/>
    <w:rsid w:val="7C660C58"/>
    <w:rsid w:val="7C694EC4"/>
    <w:rsid w:val="7C75031E"/>
    <w:rsid w:val="7C766BE1"/>
    <w:rsid w:val="7C7845D1"/>
    <w:rsid w:val="7C79055A"/>
    <w:rsid w:val="7C870F2B"/>
    <w:rsid w:val="7C8810E0"/>
    <w:rsid w:val="7C895310"/>
    <w:rsid w:val="7C9B487E"/>
    <w:rsid w:val="7CA0317C"/>
    <w:rsid w:val="7CA338E0"/>
    <w:rsid w:val="7CA66489"/>
    <w:rsid w:val="7CAB6840"/>
    <w:rsid w:val="7CB83934"/>
    <w:rsid w:val="7CBE24B4"/>
    <w:rsid w:val="7CBE3501"/>
    <w:rsid w:val="7CC22C35"/>
    <w:rsid w:val="7CC44026"/>
    <w:rsid w:val="7CC46837"/>
    <w:rsid w:val="7CDD59E3"/>
    <w:rsid w:val="7CDE27A1"/>
    <w:rsid w:val="7CE93F30"/>
    <w:rsid w:val="7CED6520"/>
    <w:rsid w:val="7CF00D13"/>
    <w:rsid w:val="7CF23231"/>
    <w:rsid w:val="7CF479D3"/>
    <w:rsid w:val="7D076F42"/>
    <w:rsid w:val="7D0839DF"/>
    <w:rsid w:val="7D161A29"/>
    <w:rsid w:val="7D1B0EFF"/>
    <w:rsid w:val="7D3175C7"/>
    <w:rsid w:val="7D4224B6"/>
    <w:rsid w:val="7D4527B4"/>
    <w:rsid w:val="7D454AB4"/>
    <w:rsid w:val="7D4C0321"/>
    <w:rsid w:val="7D523FFB"/>
    <w:rsid w:val="7D566EDE"/>
    <w:rsid w:val="7D5775E8"/>
    <w:rsid w:val="7D587C92"/>
    <w:rsid w:val="7D670347"/>
    <w:rsid w:val="7D680B2A"/>
    <w:rsid w:val="7D6C7155"/>
    <w:rsid w:val="7D6E580D"/>
    <w:rsid w:val="7D7C6FF3"/>
    <w:rsid w:val="7D9B41E7"/>
    <w:rsid w:val="7DA260E6"/>
    <w:rsid w:val="7DA50A8E"/>
    <w:rsid w:val="7DA819A2"/>
    <w:rsid w:val="7DAE5EC0"/>
    <w:rsid w:val="7DBC01D8"/>
    <w:rsid w:val="7DCB335E"/>
    <w:rsid w:val="7DCC5D8A"/>
    <w:rsid w:val="7DD2237C"/>
    <w:rsid w:val="7DD93F05"/>
    <w:rsid w:val="7DD97BD1"/>
    <w:rsid w:val="7DDC4898"/>
    <w:rsid w:val="7DDC50CF"/>
    <w:rsid w:val="7DE83EE6"/>
    <w:rsid w:val="7DE90BCE"/>
    <w:rsid w:val="7DF54524"/>
    <w:rsid w:val="7DFB034C"/>
    <w:rsid w:val="7E036308"/>
    <w:rsid w:val="7E04068F"/>
    <w:rsid w:val="7E04769C"/>
    <w:rsid w:val="7E065CCE"/>
    <w:rsid w:val="7E0966BA"/>
    <w:rsid w:val="7E0B6809"/>
    <w:rsid w:val="7E13298F"/>
    <w:rsid w:val="7E230C35"/>
    <w:rsid w:val="7E342A3E"/>
    <w:rsid w:val="7E3B4B07"/>
    <w:rsid w:val="7E400CC8"/>
    <w:rsid w:val="7E4A7D52"/>
    <w:rsid w:val="7E4C4244"/>
    <w:rsid w:val="7E580805"/>
    <w:rsid w:val="7E6A7F71"/>
    <w:rsid w:val="7E8B728C"/>
    <w:rsid w:val="7EA9582C"/>
    <w:rsid w:val="7EB81829"/>
    <w:rsid w:val="7EC93453"/>
    <w:rsid w:val="7EC93669"/>
    <w:rsid w:val="7EE06CB6"/>
    <w:rsid w:val="7EF768DB"/>
    <w:rsid w:val="7EF81CA7"/>
    <w:rsid w:val="7F07449E"/>
    <w:rsid w:val="7F157052"/>
    <w:rsid w:val="7F1E0493"/>
    <w:rsid w:val="7F340079"/>
    <w:rsid w:val="7F3C7AE9"/>
    <w:rsid w:val="7F4F79EC"/>
    <w:rsid w:val="7F5462C6"/>
    <w:rsid w:val="7F5812ED"/>
    <w:rsid w:val="7F613C16"/>
    <w:rsid w:val="7F6B6571"/>
    <w:rsid w:val="7F756E98"/>
    <w:rsid w:val="7F7946E0"/>
    <w:rsid w:val="7F7B06EC"/>
    <w:rsid w:val="7F8357E7"/>
    <w:rsid w:val="7F8F0517"/>
    <w:rsid w:val="7F903ED6"/>
    <w:rsid w:val="7F965232"/>
    <w:rsid w:val="7F9C15E8"/>
    <w:rsid w:val="7FA513EA"/>
    <w:rsid w:val="7FB337C9"/>
    <w:rsid w:val="7FB66B91"/>
    <w:rsid w:val="7FC32B2C"/>
    <w:rsid w:val="7FD01F45"/>
    <w:rsid w:val="7FD86D4C"/>
    <w:rsid w:val="7FE21D5C"/>
    <w:rsid w:val="7FE231ED"/>
    <w:rsid w:val="7FE51492"/>
    <w:rsid w:val="7FFA3081"/>
    <w:rsid w:val="7FFE2CB2"/>
    <w:rsid w:val="7FFF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qFormat="1" w:uiPriority="99"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qFormat="1" w:uiPriority="0" w:semiHidden="0" w:name="List Number"/>
    <w:lsdException w:uiPriority="99"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Bdr>
        <w:top w:val="none" w:color="auto" w:sz="0" w:space="1"/>
        <w:left w:val="none" w:color="auto" w:sz="0" w:space="4"/>
        <w:bottom w:val="none" w:color="auto" w:sz="0" w:space="1"/>
        <w:right w:val="none" w:color="auto" w:sz="0" w:space="4"/>
      </w:pBdr>
      <w:spacing w:line="360" w:lineRule="auto"/>
      <w:ind w:firstLine="200" w:firstLineChars="200"/>
      <w:jc w:val="both"/>
    </w:pPr>
    <w:rPr>
      <w:rFonts w:ascii="Times New Roman" w:hAnsi="Times New Roman" w:eastAsia="仿宋" w:cs="Times New Roman"/>
      <w:kern w:val="2"/>
      <w:sz w:val="24"/>
      <w:lang w:val="en-US" w:eastAsia="zh-CN" w:bidi="ar-SA"/>
    </w:rPr>
  </w:style>
  <w:style w:type="paragraph" w:styleId="3">
    <w:name w:val="heading 1"/>
    <w:basedOn w:val="1"/>
    <w:next w:val="1"/>
    <w:link w:val="55"/>
    <w:qFormat/>
    <w:uiPriority w:val="0"/>
    <w:pPr>
      <w:numPr>
        <w:ilvl w:val="0"/>
        <w:numId w:val="1"/>
      </w:numPr>
      <w:tabs>
        <w:tab w:val="left" w:pos="420"/>
        <w:tab w:val="clear" w:pos="0"/>
      </w:tabs>
      <w:adjustRightInd w:val="0"/>
      <w:snapToGrid w:val="0"/>
      <w:spacing w:before="50" w:beforeLines="50" w:after="50" w:afterLines="50" w:line="240" w:lineRule="auto"/>
      <w:ind w:firstLineChars="0"/>
      <w:outlineLvl w:val="0"/>
    </w:pPr>
    <w:rPr>
      <w:rFonts w:ascii="Times New Roman" w:hAnsi="Times New Roman"/>
      <w:b/>
      <w:sz w:val="30"/>
    </w:rPr>
  </w:style>
  <w:style w:type="paragraph" w:styleId="2">
    <w:name w:val="heading 2"/>
    <w:basedOn w:val="1"/>
    <w:next w:val="1"/>
    <w:link w:val="87"/>
    <w:qFormat/>
    <w:uiPriority w:val="0"/>
    <w:pPr>
      <w:keepNext/>
      <w:keepLines/>
      <w:numPr>
        <w:ilvl w:val="1"/>
        <w:numId w:val="1"/>
      </w:numPr>
      <w:tabs>
        <w:tab w:val="left" w:pos="630"/>
        <w:tab w:val="clear" w:pos="0"/>
      </w:tabs>
      <w:adjustRightInd w:val="0"/>
      <w:spacing w:before="50" w:beforeLines="50" w:after="50" w:afterLines="50" w:line="240" w:lineRule="auto"/>
      <w:ind w:firstLine="151" w:firstLineChars="50"/>
      <w:outlineLvl w:val="1"/>
    </w:pPr>
    <w:rPr>
      <w:b/>
      <w:sz w:val="28"/>
    </w:rPr>
  </w:style>
  <w:style w:type="paragraph" w:styleId="4">
    <w:name w:val="heading 3"/>
    <w:basedOn w:val="1"/>
    <w:next w:val="1"/>
    <w:link w:val="53"/>
    <w:qFormat/>
    <w:uiPriority w:val="0"/>
    <w:pPr>
      <w:keepNext/>
      <w:keepLines/>
      <w:numPr>
        <w:ilvl w:val="2"/>
        <w:numId w:val="1"/>
      </w:numPr>
      <w:tabs>
        <w:tab w:val="left" w:pos="630"/>
        <w:tab w:val="clear" w:pos="0"/>
      </w:tabs>
      <w:adjustRightInd w:val="0"/>
      <w:snapToGrid w:val="0"/>
      <w:spacing w:before="50" w:beforeLines="50" w:after="50" w:afterLines="50" w:line="240" w:lineRule="auto"/>
      <w:ind w:firstLine="301" w:firstLineChars="100"/>
      <w:outlineLvl w:val="2"/>
    </w:pPr>
    <w:rPr>
      <w:b/>
    </w:rPr>
  </w:style>
  <w:style w:type="paragraph" w:styleId="5">
    <w:name w:val="heading 4"/>
    <w:basedOn w:val="1"/>
    <w:next w:val="1"/>
    <w:link w:val="54"/>
    <w:qFormat/>
    <w:uiPriority w:val="0"/>
    <w:pPr>
      <w:numPr>
        <w:ilvl w:val="3"/>
        <w:numId w:val="1"/>
      </w:numPr>
      <w:tabs>
        <w:tab w:val="left" w:pos="630"/>
        <w:tab w:val="clear" w:pos="420"/>
      </w:tabs>
      <w:spacing w:before="50" w:beforeLines="50" w:after="50" w:afterLines="50" w:line="240" w:lineRule="auto"/>
      <w:ind w:left="0" w:firstLine="602"/>
      <w:outlineLvl w:val="3"/>
    </w:pPr>
    <w:rPr>
      <w:b/>
    </w:rPr>
  </w:style>
  <w:style w:type="paragraph" w:styleId="6">
    <w:name w:val="heading 5"/>
    <w:basedOn w:val="1"/>
    <w:next w:val="1"/>
    <w:qFormat/>
    <w:uiPriority w:val="9"/>
    <w:pPr>
      <w:keepNext/>
      <w:keepLines/>
      <w:numPr>
        <w:ilvl w:val="4"/>
        <w:numId w:val="2"/>
      </w:numPr>
      <w:tabs>
        <w:tab w:val="left" w:pos="0"/>
        <w:tab w:val="left" w:pos="1008"/>
        <w:tab w:val="clear" w:pos="2098"/>
      </w:tabs>
      <w:spacing w:before="50" w:beforeLines="50" w:after="50" w:afterLines="50" w:line="360" w:lineRule="auto"/>
      <w:ind w:firstLine="601" w:firstLineChars="200"/>
      <w:outlineLvl w:val="4"/>
    </w:pPr>
    <w:rPr>
      <w:rFonts w:ascii="Times New Roman" w:hAnsi="Times New Roman"/>
    </w:rPr>
  </w:style>
  <w:style w:type="paragraph" w:styleId="7">
    <w:name w:val="heading 6"/>
    <w:basedOn w:val="1"/>
    <w:next w:val="1"/>
    <w:qFormat/>
    <w:uiPriority w:val="0"/>
    <w:pPr>
      <w:keepNext/>
      <w:keepLines/>
      <w:numPr>
        <w:ilvl w:val="5"/>
        <w:numId w:val="3"/>
      </w:numPr>
      <w:spacing w:before="240" w:after="64" w:line="320" w:lineRule="auto"/>
      <w:outlineLvl w:val="5"/>
    </w:pPr>
    <w:rPr>
      <w:rFonts w:ascii="Arial" w:hAnsi="Arial" w:eastAsia="黑体"/>
      <w:b/>
      <w:bCs/>
      <w:sz w:val="24"/>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8">
    <w:name w:val="List 3"/>
    <w:basedOn w:val="1"/>
    <w:qFormat/>
    <w:uiPriority w:val="0"/>
    <w:pPr>
      <w:ind w:firstLine="0" w:firstLineChars="0"/>
      <w:jc w:val="center"/>
    </w:pPr>
    <w:rPr>
      <w:szCs w:val="24"/>
    </w:rPr>
  </w:style>
  <w:style w:type="paragraph" w:styleId="9">
    <w:name w:val="toc 7"/>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2520" w:leftChars="1200" w:firstLine="0" w:firstLineChars="0"/>
    </w:pPr>
    <w:rPr>
      <w:rFonts w:ascii="等线" w:hAnsi="等线" w:eastAsia="等线"/>
      <w:sz w:val="21"/>
      <w:szCs w:val="22"/>
    </w:rPr>
  </w:style>
  <w:style w:type="paragraph" w:styleId="10">
    <w:name w:val="List Number"/>
    <w:basedOn w:val="1"/>
    <w:unhideWhenUsed/>
    <w:qFormat/>
    <w:uiPriority w:val="0"/>
    <w:pPr>
      <w:numPr>
        <w:ilvl w:val="0"/>
        <w:numId w:val="4"/>
      </w:numPr>
      <w:contextualSpacing/>
    </w:pPr>
  </w:style>
  <w:style w:type="paragraph" w:styleId="11">
    <w:name w:val="Normal Indent"/>
    <w:basedOn w:val="1"/>
    <w:next w:val="1"/>
    <w:unhideWhenUsed/>
    <w:qFormat/>
    <w:uiPriority w:val="99"/>
    <w:pPr>
      <w:tabs>
        <w:tab w:val="left" w:pos="1620"/>
      </w:tabs>
      <w:autoSpaceDE w:val="0"/>
      <w:autoSpaceDN w:val="0"/>
      <w:adjustRightInd w:val="0"/>
      <w:snapToGrid w:val="0"/>
      <w:ind w:firstLine="480"/>
    </w:pPr>
    <w:rPr>
      <w:rFonts w:ascii="宋体" w:cs="宋体"/>
      <w:lang w:val="zh-CN"/>
    </w:rPr>
  </w:style>
  <w:style w:type="paragraph" w:styleId="12">
    <w:name w:val="caption"/>
    <w:basedOn w:val="1"/>
    <w:next w:val="1"/>
    <w:link w:val="71"/>
    <w:qFormat/>
    <w:uiPriority w:val="0"/>
    <w:pPr>
      <w:ind w:firstLine="0" w:firstLineChars="0"/>
      <w:jc w:val="center"/>
    </w:pPr>
    <w:rPr>
      <w:szCs w:val="24"/>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basedOn w:val="1"/>
    <w:link w:val="73"/>
    <w:qFormat/>
    <w:uiPriority w:val="0"/>
    <w:pPr>
      <w:spacing w:after="120"/>
    </w:pPr>
  </w:style>
  <w:style w:type="paragraph" w:styleId="16">
    <w:name w:val="Body Text Indent"/>
    <w:basedOn w:val="1"/>
    <w:link w:val="70"/>
    <w:qFormat/>
    <w:uiPriority w:val="0"/>
    <w:pPr>
      <w:spacing w:after="120"/>
      <w:ind w:left="420"/>
    </w:pPr>
  </w:style>
  <w:style w:type="paragraph" w:styleId="17">
    <w:name w:val="toc 5"/>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1680" w:leftChars="800" w:firstLine="0" w:firstLineChars="0"/>
    </w:pPr>
    <w:rPr>
      <w:rFonts w:ascii="等线" w:hAnsi="等线" w:eastAsia="等线"/>
      <w:sz w:val="21"/>
      <w:szCs w:val="22"/>
    </w:rPr>
  </w:style>
  <w:style w:type="paragraph" w:styleId="18">
    <w:name w:val="toc 3"/>
    <w:basedOn w:val="1"/>
    <w:next w:val="1"/>
    <w:qFormat/>
    <w:uiPriority w:val="39"/>
    <w:pPr>
      <w:ind w:left="480" w:leftChars="200"/>
    </w:pPr>
  </w:style>
  <w:style w:type="paragraph" w:styleId="19">
    <w:name w:val="Plain Text"/>
    <w:basedOn w:val="1"/>
    <w:qFormat/>
    <w:uiPriority w:val="0"/>
    <w:rPr>
      <w:rFonts w:ascii="宋体" w:hAnsi="Courier New" w:cs="Courier New"/>
      <w:sz w:val="21"/>
      <w:szCs w:val="21"/>
    </w:rPr>
  </w:style>
  <w:style w:type="paragraph" w:styleId="20">
    <w:name w:val="toc 8"/>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2940" w:leftChars="1400" w:firstLine="0" w:firstLineChars="0"/>
    </w:pPr>
    <w:rPr>
      <w:rFonts w:ascii="等线" w:hAnsi="等线" w:eastAsia="等线"/>
      <w:sz w:val="21"/>
      <w:szCs w:val="22"/>
    </w:rPr>
  </w:style>
  <w:style w:type="paragraph" w:styleId="21">
    <w:name w:val="Date"/>
    <w:basedOn w:val="1"/>
    <w:next w:val="1"/>
    <w:qFormat/>
    <w:uiPriority w:val="0"/>
    <w:pPr>
      <w:ind w:left="100" w:leftChars="2500"/>
    </w:pPr>
  </w:style>
  <w:style w:type="paragraph" w:styleId="22">
    <w:name w:val="endnote text"/>
    <w:basedOn w:val="1"/>
    <w:qFormat/>
    <w:uiPriority w:val="0"/>
    <w:pPr>
      <w:tabs>
        <w:tab w:val="left" w:pos="498"/>
      </w:tabs>
      <w:ind w:left="200" w:hanging="200" w:hangingChars="200"/>
    </w:pPr>
  </w:style>
  <w:style w:type="paragraph" w:styleId="23">
    <w:name w:val="Balloon Text"/>
    <w:basedOn w:val="1"/>
    <w:qFormat/>
    <w:uiPriority w:val="0"/>
    <w:rPr>
      <w:sz w:val="18"/>
      <w:szCs w:val="18"/>
    </w:rPr>
  </w:style>
  <w:style w:type="paragraph" w:styleId="24">
    <w:name w:val="footer"/>
    <w:basedOn w:val="1"/>
    <w:link w:val="86"/>
    <w:qFormat/>
    <w:uiPriority w:val="99"/>
    <w:pPr>
      <w:tabs>
        <w:tab w:val="center" w:pos="4153"/>
        <w:tab w:val="right" w:pos="8306"/>
      </w:tabs>
      <w:snapToGrid w:val="0"/>
      <w:jc w:val="left"/>
    </w:pPr>
    <w:rPr>
      <w:sz w:val="18"/>
    </w:rPr>
  </w:style>
  <w:style w:type="paragraph" w:styleId="25">
    <w:name w:val="header"/>
    <w:basedOn w:val="1"/>
    <w:qFormat/>
    <w:uiPriority w:val="0"/>
    <w:pPr>
      <w:pBdr>
        <w:bottom w:val="single" w:color="auto" w:sz="6" w:space="1"/>
      </w:pBdr>
      <w:tabs>
        <w:tab w:val="center" w:pos="4153"/>
        <w:tab w:val="right" w:pos="8306"/>
      </w:tabs>
      <w:snapToGrid w:val="0"/>
      <w:jc w:val="center"/>
    </w:pPr>
    <w:rPr>
      <w:sz w:val="18"/>
    </w:rPr>
  </w:style>
  <w:style w:type="paragraph" w:styleId="26">
    <w:name w:val="toc 1"/>
    <w:basedOn w:val="1"/>
    <w:next w:val="1"/>
    <w:qFormat/>
    <w:uiPriority w:val="39"/>
    <w:pPr>
      <w:tabs>
        <w:tab w:val="right" w:leader="dot" w:pos="8210"/>
      </w:tabs>
      <w:jc w:val="right"/>
    </w:pPr>
  </w:style>
  <w:style w:type="paragraph" w:styleId="27">
    <w:name w:val="toc 4"/>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1260" w:leftChars="600" w:firstLine="0" w:firstLineChars="0"/>
    </w:pPr>
    <w:rPr>
      <w:rFonts w:ascii="等线" w:hAnsi="等线" w:eastAsia="等线"/>
      <w:sz w:val="21"/>
      <w:szCs w:val="22"/>
    </w:rPr>
  </w:style>
  <w:style w:type="paragraph" w:styleId="28">
    <w:name w:val="Subtitle"/>
    <w:basedOn w:val="1"/>
    <w:qFormat/>
    <w:uiPriority w:val="11"/>
    <w:pPr>
      <w:spacing w:before="240" w:after="60" w:line="312" w:lineRule="auto"/>
      <w:jc w:val="center"/>
      <w:outlineLvl w:val="1"/>
    </w:pPr>
    <w:rPr>
      <w:rFonts w:ascii="Arial" w:hAnsi="Arial"/>
      <w:b/>
      <w:kern w:val="28"/>
      <w:sz w:val="32"/>
    </w:rPr>
  </w:style>
  <w:style w:type="paragraph" w:styleId="29">
    <w:name w:val="footnote text"/>
    <w:basedOn w:val="1"/>
    <w:qFormat/>
    <w:uiPriority w:val="0"/>
    <w:pPr>
      <w:snapToGrid w:val="0"/>
      <w:jc w:val="left"/>
    </w:pPr>
  </w:style>
  <w:style w:type="paragraph" w:styleId="30">
    <w:name w:val="toc 6"/>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2100" w:leftChars="1000" w:firstLine="0" w:firstLineChars="0"/>
    </w:pPr>
    <w:rPr>
      <w:rFonts w:ascii="等线" w:hAnsi="等线" w:eastAsia="等线"/>
      <w:sz w:val="21"/>
      <w:szCs w:val="22"/>
    </w:rPr>
  </w:style>
  <w:style w:type="paragraph" w:styleId="31">
    <w:name w:val="table of figures"/>
    <w:basedOn w:val="1"/>
    <w:next w:val="1"/>
    <w:qFormat/>
    <w:uiPriority w:val="0"/>
    <w:pPr>
      <w:ind w:left="200" w:leftChars="200" w:hanging="200" w:hangingChars="200"/>
    </w:pPr>
  </w:style>
  <w:style w:type="paragraph" w:styleId="32">
    <w:name w:val="toc 2"/>
    <w:basedOn w:val="1"/>
    <w:next w:val="1"/>
    <w:qFormat/>
    <w:uiPriority w:val="39"/>
    <w:pPr>
      <w:tabs>
        <w:tab w:val="right" w:leader="dot" w:pos="8380"/>
      </w:tabs>
      <w:ind w:left="240" w:leftChars="100"/>
    </w:pPr>
  </w:style>
  <w:style w:type="paragraph" w:styleId="33">
    <w:name w:val="toc 9"/>
    <w:basedOn w:val="1"/>
    <w:next w:val="1"/>
    <w:unhideWhenUsed/>
    <w:qFormat/>
    <w:uiPriority w:val="39"/>
    <w:pPr>
      <w:pBdr>
        <w:top w:val="none" w:color="auto" w:sz="0" w:space="0"/>
        <w:left w:val="none" w:color="auto" w:sz="0" w:space="0"/>
        <w:bottom w:val="none" w:color="auto" w:sz="0" w:space="0"/>
        <w:right w:val="none" w:color="auto" w:sz="0" w:space="0"/>
      </w:pBdr>
      <w:spacing w:line="240" w:lineRule="auto"/>
      <w:ind w:left="3360" w:leftChars="1600" w:firstLine="0" w:firstLineChars="0"/>
    </w:pPr>
    <w:rPr>
      <w:rFonts w:ascii="等线" w:hAnsi="等线" w:eastAsia="等线"/>
      <w:sz w:val="21"/>
      <w:szCs w:val="22"/>
    </w:rPr>
  </w:style>
  <w:style w:type="paragraph" w:styleId="34">
    <w:name w:val="Normal (Web)"/>
    <w:basedOn w:val="1"/>
    <w:unhideWhenUsed/>
    <w:qFormat/>
    <w:uiPriority w:val="99"/>
    <w:pPr>
      <w:spacing w:before="100" w:beforeAutospacing="1" w:after="100" w:afterAutospacing="1"/>
      <w:jc w:val="left"/>
    </w:pPr>
    <w:rPr>
      <w:kern w:val="0"/>
    </w:rPr>
  </w:style>
  <w:style w:type="paragraph" w:styleId="35">
    <w:name w:val="Title"/>
    <w:basedOn w:val="1"/>
    <w:next w:val="36"/>
    <w:qFormat/>
    <w:uiPriority w:val="0"/>
    <w:pPr>
      <w:ind w:firstLine="960" w:firstLineChars="400"/>
    </w:pPr>
  </w:style>
  <w:style w:type="paragraph" w:styleId="36">
    <w:name w:val="Body Text First Indent"/>
    <w:basedOn w:val="1"/>
    <w:link w:val="64"/>
    <w:qFormat/>
    <w:uiPriority w:val="0"/>
    <w:pPr>
      <w:ind w:firstLine="498"/>
    </w:pPr>
  </w:style>
  <w:style w:type="paragraph" w:styleId="37">
    <w:name w:val="annotation subject"/>
    <w:basedOn w:val="14"/>
    <w:next w:val="14"/>
    <w:qFormat/>
    <w:uiPriority w:val="0"/>
    <w:rPr>
      <w:b/>
      <w:bCs/>
    </w:rPr>
  </w:style>
  <w:style w:type="paragraph" w:styleId="38">
    <w:name w:val="Body Text First Indent 2"/>
    <w:basedOn w:val="16"/>
    <w:link w:val="69"/>
    <w:unhideWhenUsed/>
    <w:qFormat/>
    <w:uiPriority w:val="99"/>
    <w:pPr>
      <w:ind w:left="200" w:leftChars="200" w:firstLine="420"/>
    </w:pPr>
  </w:style>
  <w:style w:type="table" w:styleId="40">
    <w:name w:val="Table Grid"/>
    <w:basedOn w:val="39"/>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Strong"/>
    <w:qFormat/>
    <w:uiPriority w:val="22"/>
    <w:rPr>
      <w:b/>
    </w:rPr>
  </w:style>
  <w:style w:type="character" w:styleId="43">
    <w:name w:val="endnote reference"/>
    <w:qFormat/>
    <w:uiPriority w:val="0"/>
    <w:rPr>
      <w:rFonts w:ascii="Times New Roman" w:hAnsi="Times New Roman" w:eastAsia="宋体"/>
      <w:sz w:val="24"/>
      <w:szCs w:val="18"/>
      <w:vertAlign w:val="baseline"/>
    </w:rPr>
  </w:style>
  <w:style w:type="character" w:styleId="44">
    <w:name w:val="page number"/>
    <w:basedOn w:val="41"/>
    <w:qFormat/>
    <w:uiPriority w:val="0"/>
  </w:style>
  <w:style w:type="character" w:styleId="45">
    <w:name w:val="FollowedHyperlink"/>
    <w:unhideWhenUsed/>
    <w:qFormat/>
    <w:uiPriority w:val="99"/>
    <w:rPr>
      <w:color w:val="800080"/>
      <w:u w:val="single"/>
    </w:rPr>
  </w:style>
  <w:style w:type="character" w:styleId="46">
    <w:name w:val="Emphasis"/>
    <w:qFormat/>
    <w:uiPriority w:val="0"/>
    <w:rPr>
      <w:i/>
      <w:iCs/>
    </w:rPr>
  </w:style>
  <w:style w:type="character" w:styleId="47">
    <w:name w:val="line number"/>
    <w:basedOn w:val="41"/>
    <w:unhideWhenUsed/>
    <w:qFormat/>
    <w:uiPriority w:val="99"/>
  </w:style>
  <w:style w:type="character" w:styleId="48">
    <w:name w:val="Hyperlink"/>
    <w:qFormat/>
    <w:uiPriority w:val="99"/>
    <w:rPr>
      <w:color w:val="0000FF"/>
      <w:u w:val="single"/>
    </w:rPr>
  </w:style>
  <w:style w:type="character" w:styleId="49">
    <w:name w:val="annotation reference"/>
    <w:basedOn w:val="41"/>
    <w:qFormat/>
    <w:uiPriority w:val="0"/>
    <w:rPr>
      <w:sz w:val="21"/>
      <w:szCs w:val="21"/>
    </w:rPr>
  </w:style>
  <w:style w:type="character" w:styleId="50">
    <w:name w:val="footnote reference"/>
    <w:qFormat/>
    <w:uiPriority w:val="0"/>
    <w:rPr>
      <w:rFonts w:ascii="Times New Roman" w:hAnsi="Times New Roman" w:eastAsia="宋体"/>
      <w:sz w:val="18"/>
      <w:vertAlign w:val="superscript"/>
    </w:rPr>
  </w:style>
  <w:style w:type="character" w:customStyle="1" w:styleId="51">
    <w:name w:val="标题 1 Char"/>
    <w:link w:val="3"/>
    <w:qFormat/>
    <w:uiPriority w:val="0"/>
    <w:rPr>
      <w:rFonts w:ascii="Times New Roman" w:hAnsi="Times New Roman" w:eastAsia="仿宋" w:cs="Times New Roman"/>
      <w:b/>
      <w:sz w:val="30"/>
    </w:rPr>
  </w:style>
  <w:style w:type="character" w:customStyle="1" w:styleId="52">
    <w:name w:val="标题 2 Char"/>
    <w:link w:val="2"/>
    <w:qFormat/>
    <w:uiPriority w:val="0"/>
    <w:rPr>
      <w:rFonts w:ascii="Times New Roman" w:hAnsi="Times New Roman" w:eastAsia="仿宋"/>
      <w:b/>
      <w:sz w:val="28"/>
    </w:rPr>
  </w:style>
  <w:style w:type="character" w:customStyle="1" w:styleId="53">
    <w:name w:val="标题 3 字符"/>
    <w:link w:val="4"/>
    <w:qFormat/>
    <w:uiPriority w:val="0"/>
    <w:rPr>
      <w:rFonts w:ascii="Times New Roman" w:hAnsi="Times New Roman" w:eastAsia="仿宋"/>
      <w:b/>
      <w:kern w:val="2"/>
      <w:sz w:val="24"/>
    </w:rPr>
  </w:style>
  <w:style w:type="character" w:customStyle="1" w:styleId="54">
    <w:name w:val="标题 4 字符"/>
    <w:link w:val="5"/>
    <w:qFormat/>
    <w:uiPriority w:val="0"/>
    <w:rPr>
      <w:rFonts w:ascii="Times New Roman" w:hAnsi="Times New Roman" w:eastAsia="仿宋"/>
      <w:b/>
      <w:kern w:val="2"/>
      <w:sz w:val="24"/>
    </w:rPr>
  </w:style>
  <w:style w:type="character" w:customStyle="1" w:styleId="55">
    <w:name w:val="标题 1 字符1"/>
    <w:link w:val="3"/>
    <w:qFormat/>
    <w:uiPriority w:val="0"/>
    <w:rPr>
      <w:rFonts w:ascii="Times New Roman" w:hAnsi="Times New Roman" w:eastAsia="仿宋"/>
      <w:b/>
      <w:sz w:val="30"/>
    </w:rPr>
  </w:style>
  <w:style w:type="paragraph" w:customStyle="1" w:styleId="56">
    <w:name w:val="gz图表标题"/>
    <w:basedOn w:val="1"/>
    <w:next w:val="1"/>
    <w:link w:val="57"/>
    <w:qFormat/>
    <w:uiPriority w:val="0"/>
    <w:pPr>
      <w:spacing w:before="50" w:beforeLines="50" w:after="50" w:afterLines="50" w:line="240" w:lineRule="auto"/>
      <w:ind w:firstLine="0" w:firstLineChars="0"/>
      <w:jc w:val="center"/>
    </w:pPr>
    <w:rPr>
      <w:rFonts w:ascii="Times New Roman" w:hAnsi="Times New Roman"/>
      <w:sz w:val="21"/>
    </w:rPr>
  </w:style>
  <w:style w:type="character" w:customStyle="1" w:styleId="57">
    <w:name w:val="gz图表标题 Char"/>
    <w:link w:val="56"/>
    <w:qFormat/>
    <w:uiPriority w:val="0"/>
    <w:rPr>
      <w:rFonts w:ascii="Times New Roman" w:hAnsi="Times New Roman" w:eastAsia="仿宋"/>
      <w:sz w:val="21"/>
    </w:rPr>
  </w:style>
  <w:style w:type="paragraph" w:customStyle="1" w:styleId="58">
    <w:name w:val="gz表格内容"/>
    <w:basedOn w:val="1"/>
    <w:qFormat/>
    <w:uiPriority w:val="0"/>
    <w:pPr>
      <w:spacing w:line="240" w:lineRule="auto"/>
      <w:ind w:firstLine="0" w:firstLineChars="0"/>
      <w:jc w:val="center"/>
    </w:pPr>
    <w:rPr>
      <w:rFonts w:ascii="Times New Roman" w:hAnsi="Times New Roman"/>
      <w:kern w:val="0"/>
      <w:sz w:val="21"/>
    </w:rPr>
  </w:style>
  <w:style w:type="character" w:customStyle="1" w:styleId="59">
    <w:name w:val="标题 1 字符"/>
    <w:qFormat/>
    <w:uiPriority w:val="0"/>
    <w:rPr>
      <w:rFonts w:eastAsia="仿宋"/>
      <w:b/>
      <w:kern w:val="2"/>
      <w:sz w:val="30"/>
    </w:rPr>
  </w:style>
  <w:style w:type="character" w:customStyle="1" w:styleId="60">
    <w:name w:val="标题 2 字符"/>
    <w:qFormat/>
    <w:uiPriority w:val="0"/>
    <w:rPr>
      <w:rFonts w:eastAsia="仿宋"/>
      <w:b/>
      <w:kern w:val="2"/>
      <w:sz w:val="28"/>
    </w:rPr>
  </w:style>
  <w:style w:type="paragraph" w:customStyle="1" w:styleId="61">
    <w:name w:val="gz图片"/>
    <w:basedOn w:val="1"/>
    <w:next w:val="1"/>
    <w:qFormat/>
    <w:uiPriority w:val="0"/>
    <w:pPr>
      <w:spacing w:line="240" w:lineRule="auto"/>
      <w:ind w:firstLine="0" w:firstLineChars="0"/>
      <w:jc w:val="center"/>
    </w:pPr>
  </w:style>
  <w:style w:type="paragraph" w:customStyle="1" w:styleId="62">
    <w:name w:val="表格内容"/>
    <w:basedOn w:val="1"/>
    <w:qFormat/>
    <w:uiPriority w:val="0"/>
    <w:pPr>
      <w:ind w:firstLine="0" w:firstLineChars="0"/>
      <w:jc w:val="center"/>
    </w:pPr>
    <w:rPr>
      <w:kern w:val="0"/>
    </w:rPr>
  </w:style>
  <w:style w:type="paragraph" w:customStyle="1" w:styleId="63">
    <w:name w:val="表格文字"/>
    <w:basedOn w:val="1"/>
    <w:qFormat/>
    <w:uiPriority w:val="0"/>
    <w:pPr>
      <w:adjustRightInd w:val="0"/>
      <w:snapToGrid w:val="0"/>
      <w:ind w:firstLine="0" w:firstLineChars="0"/>
      <w:jc w:val="center"/>
    </w:pPr>
    <w:rPr>
      <w:szCs w:val="24"/>
    </w:rPr>
  </w:style>
  <w:style w:type="character" w:customStyle="1" w:styleId="64">
    <w:name w:val="正文文本首行缩进 字符"/>
    <w:link w:val="36"/>
    <w:qFormat/>
    <w:uiPriority w:val="0"/>
  </w:style>
  <w:style w:type="character" w:customStyle="1" w:styleId="65">
    <w:name w:val="论文英文标题"/>
    <w:qFormat/>
    <w:uiPriority w:val="0"/>
    <w:rPr>
      <w:rFonts w:ascii="Palatino Linotype" w:hAnsi="Palatino Linotype"/>
      <w:b/>
      <w:sz w:val="44"/>
      <w:szCs w:val="44"/>
    </w:rPr>
  </w:style>
  <w:style w:type="character" w:customStyle="1" w:styleId="66">
    <w:name w:val="正文缩进2 Char"/>
    <w:link w:val="67"/>
    <w:qFormat/>
    <w:uiPriority w:val="0"/>
    <w:rPr>
      <w:sz w:val="21"/>
      <w:szCs w:val="22"/>
    </w:rPr>
  </w:style>
  <w:style w:type="paragraph" w:customStyle="1" w:styleId="67">
    <w:name w:val="正文无缩进"/>
    <w:link w:val="66"/>
    <w:qFormat/>
    <w:uiPriority w:val="0"/>
    <w:rPr>
      <w:rFonts w:ascii="Times New Roman" w:hAnsi="Times New Roman" w:eastAsia="宋体" w:cs="Times New Roman"/>
      <w:sz w:val="21"/>
      <w:szCs w:val="22"/>
      <w:lang w:val="en-US" w:eastAsia="zh-CN" w:bidi="ar-SA"/>
    </w:rPr>
  </w:style>
  <w:style w:type="character" w:customStyle="1" w:styleId="68">
    <w:name w:val="样式 尾注引用"/>
    <w:qFormat/>
    <w:uiPriority w:val="0"/>
    <w:rPr>
      <w:rFonts w:ascii="Times New Roman" w:hAnsi="Times New Roman" w:eastAsia="宋体"/>
      <w:sz w:val="24"/>
      <w:szCs w:val="28"/>
      <w:vertAlign w:val="superscript"/>
    </w:rPr>
  </w:style>
  <w:style w:type="character" w:customStyle="1" w:styleId="69">
    <w:name w:val="正文文本首行缩进 2 字符"/>
    <w:basedOn w:val="70"/>
    <w:link w:val="38"/>
    <w:semiHidden/>
    <w:qFormat/>
    <w:uiPriority w:val="99"/>
    <w:rPr>
      <w:rFonts w:eastAsia="仿宋"/>
      <w:kern w:val="2"/>
      <w:sz w:val="24"/>
    </w:rPr>
  </w:style>
  <w:style w:type="character" w:customStyle="1" w:styleId="70">
    <w:name w:val="正文文本缩进 字符"/>
    <w:link w:val="16"/>
    <w:qFormat/>
    <w:uiPriority w:val="0"/>
    <w:rPr>
      <w:rFonts w:eastAsia="仿宋"/>
      <w:kern w:val="2"/>
      <w:sz w:val="24"/>
    </w:rPr>
  </w:style>
  <w:style w:type="character" w:customStyle="1" w:styleId="71">
    <w:name w:val="题注 字符"/>
    <w:link w:val="12"/>
    <w:qFormat/>
    <w:uiPriority w:val="0"/>
    <w:rPr>
      <w:rFonts w:ascii="Times New Roman" w:hAnsi="Times New Roman" w:eastAsia="仿宋" w:cs="Times New Roman"/>
      <w:szCs w:val="24"/>
    </w:rPr>
  </w:style>
  <w:style w:type="character" w:customStyle="1" w:styleId="72">
    <w:name w:val="论文中文标题"/>
    <w:qFormat/>
    <w:uiPriority w:val="0"/>
    <w:rPr>
      <w:rFonts w:ascii="宋体" w:hAnsi="宋体"/>
      <w:sz w:val="36"/>
      <w:u w:val="single"/>
    </w:rPr>
  </w:style>
  <w:style w:type="character" w:customStyle="1" w:styleId="73">
    <w:name w:val="正文文本 字符"/>
    <w:link w:val="15"/>
    <w:qFormat/>
    <w:uiPriority w:val="0"/>
  </w:style>
  <w:style w:type="paragraph" w:customStyle="1" w:styleId="74">
    <w:name w:val="附录四级条标题"/>
    <w:basedOn w:val="1"/>
    <w:next w:val="1"/>
    <w:qFormat/>
    <w:uiPriority w:val="0"/>
    <w:pPr>
      <w:widowControl/>
      <w:numPr>
        <w:ilvl w:val="0"/>
        <w:numId w:val="5"/>
      </w:numPr>
      <w:wordWrap w:val="0"/>
      <w:overflowPunct w:val="0"/>
      <w:autoSpaceDE w:val="0"/>
      <w:autoSpaceDN w:val="0"/>
      <w:textAlignment w:val="baseline"/>
      <w:outlineLvl w:val="5"/>
    </w:pPr>
    <w:rPr>
      <w:rFonts w:ascii="黑体" w:eastAsia="黑体"/>
      <w:kern w:val="21"/>
      <w:sz w:val="21"/>
    </w:rPr>
  </w:style>
  <w:style w:type="paragraph" w:customStyle="1" w:styleId="75">
    <w:name w:val="纯文本1"/>
    <w:basedOn w:val="1"/>
    <w:qFormat/>
    <w:uiPriority w:val="0"/>
    <w:rPr>
      <w:rFonts w:ascii="Century Gothic" w:hAnsi="楷体_GB2312" w:eastAsia="Century Gothic"/>
    </w:rPr>
  </w:style>
  <w:style w:type="paragraph" w:customStyle="1" w:styleId="76">
    <w:name w:val="纯文本2"/>
    <w:basedOn w:val="1"/>
    <w:qFormat/>
    <w:uiPriority w:val="0"/>
    <w:rPr>
      <w:rFonts w:ascii="Century Gothic" w:hAnsi="楷体_GB2312" w:eastAsia="Century Gothic"/>
    </w:rPr>
  </w:style>
  <w:style w:type="paragraph" w:customStyle="1" w:styleId="77">
    <w:name w:val="样式1"/>
    <w:basedOn w:val="35"/>
    <w:next w:val="78"/>
    <w:qFormat/>
    <w:uiPriority w:val="0"/>
    <w:rPr>
      <w:rFonts w:ascii="宋体" w:hAnsi="宋体" w:eastAsia="宋体"/>
      <w:bCs/>
    </w:rPr>
  </w:style>
  <w:style w:type="paragraph" w:customStyle="1" w:styleId="78">
    <w:name w:val="章标题(不加入目录内)"/>
    <w:basedOn w:val="35"/>
    <w:qFormat/>
    <w:uiPriority w:val="0"/>
    <w:pPr>
      <w:spacing w:before="480" w:after="360"/>
    </w:pPr>
    <w:rPr>
      <w:rFonts w:ascii="仿宋_GB2312" w:eastAsia="仿宋_GB2312"/>
      <w:szCs w:val="36"/>
    </w:rPr>
  </w:style>
  <w:style w:type="paragraph" w:customStyle="1" w:styleId="79">
    <w:name w:val="附录五级条标题"/>
    <w:basedOn w:val="74"/>
    <w:next w:val="1"/>
    <w:qFormat/>
    <w:uiPriority w:val="0"/>
    <w:pPr>
      <w:numPr>
        <w:ilvl w:val="1"/>
      </w:numPr>
      <w:tabs>
        <w:tab w:val="clear" w:pos="839"/>
      </w:tabs>
      <w:outlineLvl w:val="6"/>
    </w:pPr>
  </w:style>
  <w:style w:type="paragraph" w:customStyle="1" w:styleId="80">
    <w:name w:val="列出段落1"/>
    <w:basedOn w:val="1"/>
    <w:qFormat/>
    <w:uiPriority w:val="34"/>
    <w:pPr>
      <w:ind w:firstLine="420"/>
    </w:pPr>
  </w:style>
  <w:style w:type="paragraph" w:customStyle="1" w:styleId="81">
    <w:name w:val="源代码"/>
    <w:basedOn w:val="1"/>
    <w:qFormat/>
    <w:uiPriority w:val="0"/>
    <w:pPr>
      <w:widowControl/>
      <w:kinsoku w:val="0"/>
      <w:overflowPunct w:val="0"/>
      <w:autoSpaceDE w:val="0"/>
      <w:autoSpaceDN w:val="0"/>
      <w:adjustRightInd w:val="0"/>
      <w:snapToGrid w:val="0"/>
      <w:jc w:val="left"/>
    </w:pPr>
    <w:rPr>
      <w:rFonts w:ascii="Courier New" w:hAnsi="Courier New"/>
      <w:b/>
      <w:snapToGrid w:val="0"/>
      <w:kern w:val="0"/>
      <w:szCs w:val="24"/>
    </w:rPr>
  </w:style>
  <w:style w:type="paragraph" w:customStyle="1" w:styleId="82">
    <w:name w:val="列出段落11"/>
    <w:basedOn w:val="1"/>
    <w:qFormat/>
    <w:uiPriority w:val="99"/>
    <w:pPr>
      <w:ind w:firstLine="420"/>
    </w:pPr>
    <w:rPr>
      <w:rFonts w:ascii="Calibri" w:hAnsi="Calibri"/>
      <w:szCs w:val="22"/>
    </w:rPr>
  </w:style>
  <w:style w:type="paragraph" w:customStyle="1" w:styleId="83">
    <w:name w:val="正文标注"/>
    <w:basedOn w:val="1"/>
    <w:qFormat/>
    <w:uiPriority w:val="0"/>
    <w:pPr>
      <w:jc w:val="left"/>
    </w:pPr>
  </w:style>
  <w:style w:type="paragraph" w:customStyle="1" w:styleId="84">
    <w:name w:val="列项——"/>
    <w:qFormat/>
    <w:uiPriority w:val="0"/>
    <w:pPr>
      <w:widowControl w:val="0"/>
      <w:numPr>
        <w:ilvl w:val="2"/>
        <w:numId w:val="5"/>
      </w:numPr>
      <w:tabs>
        <w:tab w:val="left" w:pos="854"/>
        <w:tab w:val="clear" w:pos="1260"/>
      </w:tabs>
      <w:ind w:left="200" w:leftChars="200" w:hanging="200" w:hangingChars="200"/>
      <w:jc w:val="both"/>
    </w:pPr>
    <w:rPr>
      <w:rFonts w:ascii="宋体" w:hAnsi="Times New Roman" w:eastAsia="宋体" w:cs="Times New Roman"/>
      <w:sz w:val="21"/>
      <w:lang w:val="en-US" w:eastAsia="zh-CN" w:bidi="ar-SA"/>
    </w:rPr>
  </w:style>
  <w:style w:type="table" w:customStyle="1" w:styleId="85">
    <w:name w:val="网格型浅色1"/>
    <w:basedOn w:val="39"/>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customStyle="1" w:styleId="86">
    <w:name w:val="页脚 字符"/>
    <w:link w:val="24"/>
    <w:qFormat/>
    <w:uiPriority w:val="99"/>
    <w:rPr>
      <w:rFonts w:eastAsia="仿宋"/>
      <w:kern w:val="2"/>
      <w:sz w:val="18"/>
    </w:rPr>
  </w:style>
  <w:style w:type="character" w:customStyle="1" w:styleId="87">
    <w:name w:val="标题 2 字符1"/>
    <w:link w:val="2"/>
    <w:qFormat/>
    <w:uiPriority w:val="0"/>
    <w:rPr>
      <w:rFonts w:ascii="Times New Roman" w:hAnsi="Times New Roman" w:eastAsia="仿宋"/>
      <w:b/>
      <w:sz w:val="28"/>
    </w:rPr>
  </w:style>
  <w:style w:type="paragraph" w:customStyle="1" w:styleId="88">
    <w:name w:val="列表段落1"/>
    <w:basedOn w:val="1"/>
    <w:qFormat/>
    <w:uiPriority w:val="34"/>
    <w:pPr>
      <w:ind w:firstLine="420"/>
    </w:pPr>
  </w:style>
  <w:style w:type="paragraph" w:customStyle="1" w:styleId="89">
    <w:name w:val="纯文本3"/>
    <w:basedOn w:val="1"/>
    <w:qFormat/>
    <w:uiPriority w:val="0"/>
    <w:rPr>
      <w:rFonts w:ascii="Century Gothic" w:hAnsi="楷体_GB2312" w:eastAsia="Century Gothic"/>
    </w:rPr>
  </w:style>
  <w:style w:type="character" w:customStyle="1" w:styleId="90">
    <w:name w:val="font21"/>
    <w:basedOn w:val="41"/>
    <w:qFormat/>
    <w:uiPriority w:val="0"/>
    <w:rPr>
      <w:rFonts w:hint="eastAsia" w:ascii="仿宋" w:hAnsi="仿宋" w:eastAsia="仿宋" w:cs="仿宋"/>
      <w:color w:val="000000"/>
      <w:sz w:val="28"/>
      <w:szCs w:val="28"/>
      <w:u w:val="none"/>
    </w:rPr>
  </w:style>
  <w:style w:type="character" w:customStyle="1" w:styleId="91">
    <w:name w:val="font51"/>
    <w:basedOn w:val="41"/>
    <w:qFormat/>
    <w:uiPriority w:val="0"/>
    <w:rPr>
      <w:rFonts w:ascii="Arial" w:hAnsi="Arial" w:cs="Arial"/>
      <w:color w:val="000000"/>
      <w:sz w:val="28"/>
      <w:szCs w:val="28"/>
      <w:u w:val="none"/>
    </w:rPr>
  </w:style>
  <w:style w:type="character" w:customStyle="1" w:styleId="92">
    <w:name w:val="font11"/>
    <w:basedOn w:val="41"/>
    <w:qFormat/>
    <w:uiPriority w:val="0"/>
    <w:rPr>
      <w:rFonts w:hint="default" w:ascii="Arial" w:hAnsi="Arial" w:cs="Arial"/>
      <w:color w:val="000000"/>
      <w:sz w:val="28"/>
      <w:szCs w:val="28"/>
      <w:u w:val="none"/>
    </w:rPr>
  </w:style>
  <w:style w:type="paragraph" w:customStyle="1" w:styleId="93">
    <w:name w:val="标题0"/>
    <w:basedOn w:val="1"/>
    <w:next w:val="1"/>
    <w:qFormat/>
    <w:uiPriority w:val="0"/>
    <w:rPr>
      <w:sz w:val="32"/>
    </w:rPr>
  </w:style>
  <w:style w:type="paragraph" w:styleId="94">
    <w:name w:val="List Paragraph"/>
    <w:basedOn w:val="1"/>
    <w:qFormat/>
    <w:uiPriority w:val="34"/>
    <w:pPr>
      <w:ind w:firstLine="420" w:firstLineChars="200"/>
    </w:pPr>
  </w:style>
  <w:style w:type="character" w:customStyle="1" w:styleId="95">
    <w:name w:val="font01"/>
    <w:basedOn w:val="41"/>
    <w:qFormat/>
    <w:uiPriority w:val="0"/>
    <w:rPr>
      <w:rFonts w:hint="default" w:ascii="Times New Roman" w:hAnsi="Times New Roman" w:cs="Times New Roman"/>
      <w:b/>
      <w:color w:val="000000"/>
      <w:sz w:val="32"/>
      <w:szCs w:val="32"/>
      <w:u w:val="none"/>
    </w:rPr>
  </w:style>
  <w:style w:type="character" w:customStyle="1" w:styleId="96">
    <w:name w:val="font31"/>
    <w:basedOn w:val="41"/>
    <w:qFormat/>
    <w:uiPriority w:val="0"/>
    <w:rPr>
      <w:rFonts w:hint="eastAsia" w:ascii="仿宋" w:hAnsi="仿宋" w:eastAsia="仿宋" w:cs="仿宋"/>
      <w:color w:val="000000"/>
      <w:sz w:val="22"/>
      <w:szCs w:val="22"/>
      <w:u w:val="none"/>
    </w:rPr>
  </w:style>
  <w:style w:type="paragraph" w:customStyle="1" w:styleId="97">
    <w:name w:val="默认段落字体 Para Char Char Char Char Char Char Char Char Char1 Char Char Char Char"/>
    <w:basedOn w:val="1"/>
    <w:qFormat/>
    <w:uiPriority w:val="0"/>
    <w:rPr>
      <w:rFonts w:ascii="Tahoma" w:hAnsi="Tahoma"/>
      <w:sz w:val="24"/>
      <w:szCs w:val="20"/>
    </w:rPr>
  </w:style>
  <w:style w:type="character" w:customStyle="1" w:styleId="98">
    <w:name w:val="font91"/>
    <w:basedOn w:val="41"/>
    <w:qFormat/>
    <w:uiPriority w:val="0"/>
    <w:rPr>
      <w:rFonts w:ascii="Arial" w:hAnsi="Arial" w:cs="Arial"/>
      <w:color w:val="000000"/>
      <w:sz w:val="22"/>
      <w:szCs w:val="22"/>
      <w:u w:val="none"/>
    </w:rPr>
  </w:style>
  <w:style w:type="character" w:customStyle="1" w:styleId="99">
    <w:name w:val="font41"/>
    <w:basedOn w:val="41"/>
    <w:qFormat/>
    <w:uiPriority w:val="0"/>
    <w:rPr>
      <w:rFonts w:hint="eastAsia" w:ascii="仿宋" w:hAnsi="仿宋" w:eastAsia="仿宋" w:cs="仿宋"/>
      <w:color w:val="000000"/>
      <w:sz w:val="22"/>
      <w:szCs w:val="22"/>
      <w:u w:val="none"/>
    </w:rPr>
  </w:style>
  <w:style w:type="paragraph" w:customStyle="1" w:styleId="100">
    <w:name w:val="自标题2"/>
    <w:basedOn w:val="2"/>
    <w:next w:val="1"/>
    <w:qFormat/>
    <w:uiPriority w:val="0"/>
    <w:pPr>
      <w:tabs>
        <w:tab w:val="left" w:pos="0"/>
        <w:tab w:val="clear" w:pos="630"/>
      </w:tabs>
    </w:pPr>
    <w:rPr>
      <w:rFonts w:ascii="Arial" w:hAnsi="Arial"/>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826\AppData\Roaming\kingsoft\office6\templates\wps\zh_CN\gz&#27169;&#26495;-20041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0EF5C8-6AFA-6A46-A88E-13475A498AE6}">
  <ds:schemaRefs/>
</ds:datastoreItem>
</file>

<file path=docProps/app.xml><?xml version="1.0" encoding="utf-8"?>
<Properties xmlns="http://schemas.openxmlformats.org/officeDocument/2006/extended-properties" xmlns:vt="http://schemas.openxmlformats.org/officeDocument/2006/docPropsVTypes">
  <Template>gz模板-200419.dotx</Template>
  <Pages>34</Pages>
  <Words>18018</Words>
  <Characters>20367</Characters>
  <Lines>89</Lines>
  <Paragraphs>65</Paragraphs>
  <TotalTime>1</TotalTime>
  <ScaleCrop>false</ScaleCrop>
  <LinksUpToDate>false</LinksUpToDate>
  <CharactersWithSpaces>20545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2021-09-23T06:47:00Z</dcterms:created>
  <dc:creator></dc:creator>
  <cp:lastModifiedBy>雷天隆</cp:lastModifiedBy>
  <dcterms:modified xsi:type="dcterms:W3CDTF">2023-02-27T08:04:04Z</dcterms:modified>
  <dc:subject>开始写论文啦~~</dc:subject>
  <dc:title>浙江大学硕士论文模板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02A9A7B2BF144CB9BA2218C4F39AC3F5</vt:lpwstr>
  </property>
</Properties>
</file>