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E8CD9" w14:textId="152C1753" w:rsidR="00C2122F" w:rsidRPr="00C227A4" w:rsidRDefault="00C2122F" w:rsidP="00C227A4">
      <w:pPr>
        <w:spacing w:after="0" w:line="240" w:lineRule="auto"/>
        <w:rPr>
          <w:sz w:val="10"/>
          <w:szCs w:val="11"/>
        </w:rPr>
      </w:pPr>
      <w:r w:rsidRPr="00C227A4">
        <w:rPr>
          <w:rFonts w:hint="eastAsia"/>
          <w:sz w:val="10"/>
          <w:szCs w:val="11"/>
        </w:rPr>
        <w:t>基于高质量相互作用及交互信息的多知多能的药物-靶标关系预测</w:t>
      </w:r>
    </w:p>
    <w:p w14:paraId="512971EC" w14:textId="4096D9CE" w:rsidR="00C526BA" w:rsidRDefault="00475DFE" w:rsidP="00CD3350">
      <w:r w:rsidRPr="00475DFE">
        <w:rPr>
          <w:rFonts w:hint="eastAsia"/>
        </w:rPr>
        <w:t>考虑到基于化学基因组学的 CPI 建模是一项二元分类任务，一个设计合理的数据集应主要包括特定配体与蛋白质 A 有相互作用但与蛋白质 B 没有相互作用的实例，这就迫使模型学习蛋白质信息，或者最好是相互作用特征，以区分这些实例。</w:t>
      </w:r>
      <w:r w:rsidRPr="00A13108">
        <w:rPr>
          <w:rFonts w:hint="eastAsia"/>
          <w:u w:val="single"/>
        </w:rPr>
        <w:t>这种适当设计的数据集不能用相互作用特征以外的其他信息（如配体模式）来区分</w:t>
      </w:r>
      <w:r w:rsidRPr="00475DFE">
        <w:rPr>
          <w:rFonts w:hint="eastAsia"/>
        </w:rPr>
        <w:t>。</w:t>
      </w:r>
    </w:p>
    <w:p w14:paraId="0CAAB8BE" w14:textId="77777777" w:rsidR="00345D98" w:rsidRDefault="00C526BA" w:rsidP="00CD3350">
      <w:r>
        <w:rPr>
          <w:rFonts w:hint="eastAsia"/>
        </w:rPr>
        <w:t>-</w:t>
      </w:r>
      <w:r>
        <w:rPr>
          <w:rFonts w:hint="eastAsia"/>
        </w:rPr>
        <w:sym w:font="Wingdings" w:char="F0E0"/>
      </w:r>
      <w:r>
        <w:rPr>
          <w:rFonts w:hint="eastAsia"/>
        </w:rPr>
        <w:t>[在逻辑上，一个</w:t>
      </w:r>
      <w:r w:rsidRPr="00475DFE">
        <w:rPr>
          <w:rFonts w:hint="eastAsia"/>
        </w:rPr>
        <w:t>设计合理的数据集</w:t>
      </w:r>
      <w:r>
        <w:rPr>
          <w:rFonts w:hint="eastAsia"/>
        </w:rPr>
        <w:t>，与任一个配体所相关的样本对，包含了该配体与蛋白质A的正信息(有相互作用)，以及该配体与蛋白质B的负信息(无相互作用)的数据。则该数据集将迫使模型学习相互作用特征，且该数据集不能用相互作用特征以外的其他信息(如配体模式或受体模式)来区分]</w:t>
      </w:r>
    </w:p>
    <w:p w14:paraId="5A0C4DD5" w14:textId="77777777" w:rsidR="00345D98" w:rsidRDefault="00345D98" w:rsidP="00CD3350"/>
    <w:p w14:paraId="2CD55137" w14:textId="0B39D0D7" w:rsidR="00345D98" w:rsidRPr="00345D98" w:rsidRDefault="00345D98" w:rsidP="00345D98">
      <w:r w:rsidRPr="00345D98">
        <w:rPr>
          <w:rFonts w:hint="eastAsia"/>
        </w:rPr>
        <w:t>GLASS 数据库提供了大量经过实验验证的 GPCR配体关联</w:t>
      </w:r>
      <w:r w:rsidR="00F865C6" w:rsidRPr="00F865C6">
        <w:rPr>
          <w:rFonts w:hint="eastAsia"/>
        </w:rPr>
        <w:t>（</w:t>
      </w:r>
      <w:r w:rsidR="00F865C6" w:rsidRPr="00F865C6">
        <w:t xml:space="preserve">Chan </w:t>
      </w:r>
      <w:r w:rsidR="00F865C6" w:rsidRPr="00F865C6">
        <w:rPr>
          <w:rFonts w:hint="eastAsia"/>
          <w:i/>
          <w:iCs/>
        </w:rPr>
        <w:t>等</w:t>
      </w:r>
      <w:r w:rsidR="00F865C6" w:rsidRPr="00F865C6">
        <w:rPr>
          <w:rFonts w:hint="eastAsia"/>
        </w:rPr>
        <w:t>，人</w:t>
      </w:r>
      <w:r w:rsidR="00F865C6" w:rsidRPr="00F865C6">
        <w:t xml:space="preserve">2015 </w:t>
      </w:r>
      <w:r w:rsidR="00F865C6" w:rsidRPr="00F865C6">
        <w:rPr>
          <w:rFonts w:hint="eastAsia"/>
        </w:rPr>
        <w:t>年），</w:t>
      </w:r>
      <w:r w:rsidRPr="00345D98">
        <w:rPr>
          <w:rFonts w:hint="eastAsia"/>
        </w:rPr>
        <w:t>其使用 IC50、Ki 和 EC50 作为结合亲和值，并将其转化为负对数p</w:t>
      </w:r>
      <m:oMath>
        <m:sSub>
          <m:sSubPr>
            <m:ctrlPr>
              <w:rPr>
                <w:rFonts w:ascii="Cambria Math" w:hAnsi="Cambria Math"/>
                <w:i/>
                <w:iCs/>
              </w:rPr>
            </m:ctrlPr>
          </m:sSubPr>
          <m:e>
            <m:r>
              <w:rPr>
                <w:rFonts w:ascii="Cambria Math" w:hAnsi="Cambria Math"/>
              </w:rPr>
              <m:t>IC</m:t>
            </m:r>
          </m:e>
          <m:sub>
            <m:r>
              <w:rPr>
                <w:rFonts w:ascii="Cambria Math" w:hAnsi="Cambria Math"/>
              </w:rPr>
              <m:t>50</m:t>
            </m:r>
          </m:sub>
        </m:sSub>
      </m:oMath>
      <w:r w:rsidRPr="00345D98">
        <w:rPr>
          <w:rFonts w:hint="eastAsia"/>
        </w:rPr>
        <w:t>、p</w:t>
      </w:r>
      <m:oMath>
        <m:sSub>
          <m:sSubPr>
            <m:ctrlPr>
              <w:rPr>
                <w:rFonts w:ascii="Cambria Math" w:hAnsi="Cambria Math"/>
                <w:i/>
                <w:iCs/>
              </w:rPr>
            </m:ctrlPr>
          </m:sSubPr>
          <m:e>
            <m:r>
              <w:rPr>
                <w:rFonts w:ascii="Cambria Math" w:hAnsi="Cambria Math"/>
              </w:rPr>
              <m:t>K</m:t>
            </m:r>
          </m:e>
          <m:sub>
            <m:r>
              <w:rPr>
                <w:rFonts w:ascii="Cambria Math" w:hAnsi="Cambria Math"/>
              </w:rPr>
              <m:t>i</m:t>
            </m:r>
          </m:sub>
        </m:sSub>
      </m:oMath>
      <w:r w:rsidRPr="00345D98">
        <w:rPr>
          <w:rFonts w:hint="eastAsia"/>
        </w:rPr>
        <w:t xml:space="preserve"> 和 p</w:t>
      </w:r>
      <m:oMath>
        <m:sSub>
          <m:sSubPr>
            <m:ctrlPr>
              <w:rPr>
                <w:rFonts w:ascii="Cambria Math" w:hAnsi="Cambria Math"/>
                <w:i/>
                <w:iCs/>
              </w:rPr>
            </m:ctrlPr>
          </m:sSubPr>
          <m:e>
            <m:r>
              <w:rPr>
                <w:rFonts w:ascii="Cambria Math" w:hAnsi="Cambria Math"/>
              </w:rPr>
              <m:t>EC</m:t>
            </m:r>
          </m:e>
          <m:sub>
            <m:r>
              <w:rPr>
                <w:rFonts w:ascii="Cambria Math" w:hAnsi="Cambria Math"/>
              </w:rPr>
              <m:t>50</m:t>
            </m:r>
          </m:sub>
        </m:sSub>
      </m:oMath>
      <w:r w:rsidRPr="00345D98">
        <w:rPr>
          <w:rFonts w:hint="eastAsia"/>
        </w:rPr>
        <w:t xml:space="preserve">。根据早期研究（Liu </w:t>
      </w:r>
      <w:r w:rsidRPr="00345D98">
        <w:rPr>
          <w:rFonts w:hint="eastAsia"/>
          <w:i/>
          <w:iCs/>
        </w:rPr>
        <w:t>等人</w:t>
      </w:r>
      <w:r w:rsidRPr="00345D98">
        <w:rPr>
          <w:rFonts w:hint="eastAsia"/>
        </w:rPr>
        <w:t xml:space="preserve">，2007；Wan </w:t>
      </w:r>
      <w:r w:rsidRPr="00345D98">
        <w:rPr>
          <w:rFonts w:hint="eastAsia"/>
          <w:i/>
          <w:iCs/>
        </w:rPr>
        <w:t>等</w:t>
      </w:r>
      <w:r w:rsidRPr="00345D98">
        <w:rPr>
          <w:rFonts w:hint="eastAsia"/>
        </w:rPr>
        <w:t>人，2019），</w:t>
      </w:r>
      <w:r w:rsidRPr="00345D98">
        <w:rPr>
          <w:rFonts w:hint="eastAsia"/>
          <w:u w:val="single"/>
        </w:rPr>
        <w:t>将阈值设定为 6.0</w:t>
      </w:r>
      <w:r w:rsidRPr="00345D98">
        <w:rPr>
          <w:rFonts w:hint="eastAsia"/>
        </w:rPr>
        <w:t>，将原始数据集分为阳性集和阴性集。</w:t>
      </w:r>
    </w:p>
    <w:p w14:paraId="3BBFAF12" w14:textId="77777777" w:rsidR="005D73F4" w:rsidRDefault="007E3689" w:rsidP="0036147F">
      <w:r w:rsidRPr="007E3689">
        <w:t xml:space="preserve">KIBA </w:t>
      </w:r>
      <w:r w:rsidRPr="007E3689">
        <w:rPr>
          <w:rFonts w:hint="eastAsia"/>
        </w:rPr>
        <w:t>评分的开发结合了各种生物活性类型，包括</w:t>
      </w:r>
      <w:r w:rsidRPr="007E3689">
        <w:t xml:space="preserve"> IC50</w:t>
      </w:r>
      <w:r w:rsidRPr="007E3689">
        <w:rPr>
          <w:rFonts w:hint="eastAsia"/>
        </w:rPr>
        <w:t>、</w:t>
      </w:r>
      <w:r w:rsidRPr="007E3689">
        <w:t xml:space="preserve">Ki </w:t>
      </w:r>
      <w:r w:rsidRPr="007E3689">
        <w:rPr>
          <w:rFonts w:hint="eastAsia"/>
        </w:rPr>
        <w:t>和</w:t>
      </w:r>
      <w:r w:rsidRPr="007E3689">
        <w:t>Kd</w:t>
      </w:r>
      <w:r w:rsidRPr="007E3689">
        <w:rPr>
          <w:rFonts w:hint="eastAsia"/>
        </w:rPr>
        <w:t>，</w:t>
      </w:r>
      <w:r w:rsidR="0036147F" w:rsidRPr="00BB0A62">
        <w:rPr>
          <w:rFonts w:hint="eastAsia"/>
          <w:u w:val="single"/>
        </w:rPr>
        <w:t>使用建议的阈值 KIBA 值 12.1</w:t>
      </w:r>
      <w:r w:rsidR="0036147F" w:rsidRPr="0036147F">
        <w:rPr>
          <w:rFonts w:hint="eastAsia"/>
        </w:rPr>
        <w:t>（He 等人，2017 年；Tang 等人，2014年）将数据集分为正集和负集</w:t>
      </w:r>
    </w:p>
    <w:p w14:paraId="4BBCFE51" w14:textId="59CA82EB" w:rsidR="00CD3350" w:rsidRDefault="005D73F4" w:rsidP="0036147F">
      <w:r>
        <w:rPr>
          <w:rFonts w:hint="eastAsia"/>
        </w:rPr>
        <w:sym w:font="Wingdings" w:char="F0E0"/>
      </w:r>
      <w:r>
        <w:rPr>
          <w:rFonts w:hint="eastAsia"/>
        </w:rPr>
        <w:t>[使用非指定的数值，而是根据数据的整体特点来进行数据正负样本的划分</w:t>
      </w:r>
      <w:r w:rsidR="004F106B">
        <w:rPr>
          <w:rFonts w:hint="eastAsia"/>
        </w:rPr>
        <w:sym w:font="Wingdings" w:char="F0E0"/>
      </w:r>
      <w:r w:rsidR="004F106B">
        <w:rPr>
          <w:rFonts w:hint="eastAsia"/>
        </w:rPr>
        <w:t>如果测试集的效果好，才能说明该划分标准可行</w:t>
      </w:r>
      <w:r>
        <w:rPr>
          <w:rFonts w:hint="eastAsia"/>
        </w:rPr>
        <w:t>]</w:t>
      </w:r>
      <w:r w:rsidR="00CD3350">
        <w:br/>
      </w:r>
      <w:r w:rsidR="00CD3350" w:rsidRPr="00CD3350">
        <w:rPr>
          <w:rFonts w:hint="eastAsia"/>
        </w:rPr>
        <w:t xml:space="preserve">[1] Chen L, Tan X, Wang D, et al. TransformerCPI: improving compound–protein interaction prediction by sequence-based deep learning with self-attention mechanism and label reversal experiments. Bioinformatics 2020;36:4406–14. </w:t>
      </w:r>
      <w:hyperlink r:id="rId6" w:history="1">
        <w:r w:rsidR="002B396F" w:rsidRPr="00AD09AC">
          <w:rPr>
            <w:rStyle w:val="af3"/>
            <w:rFonts w:hint="eastAsia"/>
          </w:rPr>
          <w:t>https://doi.org/10.1093/bioinformatics/btaa524</w:t>
        </w:r>
      </w:hyperlink>
      <w:r w:rsidR="00CD3350" w:rsidRPr="00CD3350">
        <w:rPr>
          <w:rFonts w:hint="eastAsia"/>
        </w:rPr>
        <w:t>.</w:t>
      </w:r>
    </w:p>
    <w:p w14:paraId="02E9C6CE" w14:textId="77777777" w:rsidR="009D3555" w:rsidRDefault="009D3555" w:rsidP="0036147F"/>
    <w:p w14:paraId="5053EA24" w14:textId="5DCEAF22" w:rsidR="006F014F" w:rsidRDefault="00942BA4" w:rsidP="00942BA4">
      <w:r w:rsidRPr="00942BA4">
        <w:rPr>
          <w:rFonts w:hint="eastAsia"/>
        </w:rPr>
        <w:t>先前将深度学习应用于药物靶点相互作用（</w:t>
      </w:r>
      <w:r w:rsidRPr="00942BA4">
        <w:t>DTA</w:t>
      </w:r>
      <w:r w:rsidRPr="00942BA4">
        <w:rPr>
          <w:rFonts w:hint="eastAsia"/>
        </w:rPr>
        <w:t>）的方法</w:t>
      </w:r>
      <w:r w:rsidRPr="00942BA4">
        <w:t>[7]</w:t>
      </w:r>
      <w:r w:rsidRPr="00942BA4">
        <w:rPr>
          <w:rFonts w:hint="eastAsia"/>
        </w:rPr>
        <w:t>、</w:t>
      </w:r>
      <w:r w:rsidRPr="00942BA4">
        <w:t>[8]</w:t>
      </w:r>
      <w:r w:rsidRPr="00942BA4">
        <w:rPr>
          <w:rFonts w:hint="eastAsia"/>
        </w:rPr>
        <w:t>、</w:t>
      </w:r>
      <w:r w:rsidRPr="00942BA4">
        <w:t>[9]</w:t>
      </w:r>
      <w:r w:rsidRPr="00942BA4">
        <w:rPr>
          <w:rFonts w:hint="eastAsia"/>
        </w:rPr>
        <w:t>使用目标蛋白质序列，其残基通常采用独热编码嵌入向量空间。随后，使用多个一维卷积层的编码器来获得蛋白质序列的最终表示。这种方法仅利用了目标蛋白质序列的一级结构信息。然而，三级结构信息对于药物靶点相互作用至关重要</w:t>
      </w:r>
      <w:r w:rsidRPr="00942BA4">
        <w:t>[10]</w:t>
      </w:r>
      <w:r w:rsidRPr="00942BA4">
        <w:rPr>
          <w:rFonts w:hint="eastAsia"/>
        </w:rPr>
        <w:t>。尽管三维表示能够精确描述三级结构，但获取蛋白质的三维几何结构信息既耗时又具有挑战性。对于某些蛋白质类型，使用核磁共振（</w:t>
      </w:r>
      <w:r w:rsidRPr="00942BA4">
        <w:t>NMR</w:t>
      </w:r>
      <w:r w:rsidRPr="00942BA4">
        <w:rPr>
          <w:rFonts w:hint="eastAsia"/>
        </w:rPr>
        <w:t>）或</w:t>
      </w:r>
      <w:r w:rsidRPr="00942BA4">
        <w:t xml:space="preserve">X </w:t>
      </w:r>
      <w:r w:rsidRPr="00942BA4">
        <w:rPr>
          <w:rFonts w:hint="eastAsia"/>
        </w:rPr>
        <w:t>射线晶体学方法甚至无法获得</w:t>
      </w:r>
      <w:r w:rsidRPr="00942BA4">
        <w:t>[45]</w:t>
      </w:r>
      <w:r w:rsidRPr="00942BA4">
        <w:rPr>
          <w:rFonts w:hint="eastAsia"/>
        </w:rPr>
        <w:t>。为了在复杂性和效率之间取得平衡，我们利用二维接触图信息作为三级结构的表示来表示蛋白质的图结构。</w:t>
      </w:r>
    </w:p>
    <w:p w14:paraId="1751C70B" w14:textId="4D8E9102" w:rsidR="00A67DA1" w:rsidRDefault="00A67DA1" w:rsidP="004505C2">
      <w:r w:rsidRPr="00A67DA1">
        <w:rPr>
          <w:rFonts w:hint="eastAsia"/>
        </w:rPr>
        <w:t>在自然语言处理中，语言建模是自监督学习的一个常见案例，它通过诸如预测缺失的标记或序列中的下一个标记等预设任务来学习序列的表示</w:t>
      </w:r>
      <w:r w:rsidRPr="00A67DA1">
        <w:t>[16]</w:t>
      </w:r>
      <w:r w:rsidRPr="00A67DA1">
        <w:rPr>
          <w:rFonts w:hint="eastAsia"/>
        </w:rPr>
        <w:t>。</w:t>
      </w:r>
      <w:r w:rsidRPr="00A67DA1">
        <w:t xml:space="preserve">TAPE </w:t>
      </w:r>
      <w:r w:rsidRPr="00A67DA1">
        <w:rPr>
          <w:rFonts w:hint="eastAsia"/>
        </w:rPr>
        <w:t>是一种专门用于蛋白质表示的语言模型变体。</w:t>
      </w:r>
      <w:r w:rsidR="004505C2" w:rsidRPr="004505C2">
        <w:rPr>
          <w:rFonts w:hint="eastAsia"/>
        </w:rPr>
        <w:t>。每个</w:t>
      </w:r>
      <w:r w:rsidR="004505C2" w:rsidRPr="004505C2">
        <w:t xml:space="preserve">vi </w:t>
      </w:r>
      <w:r w:rsidR="004505C2" w:rsidRPr="004505C2">
        <w:rPr>
          <w:rFonts w:hint="eastAsia"/>
        </w:rPr>
        <w:t>都是上下文相关的，也就是说，残基出现在周围残基的环境中。因此，结构信息被隐式地编码到嵌入中。</w:t>
      </w:r>
    </w:p>
    <w:p w14:paraId="3708D92B" w14:textId="53FA6E3F" w:rsidR="00F5098B" w:rsidRDefault="00F5098B" w:rsidP="00F5098B">
      <w:pPr>
        <w:rPr>
          <w:rFonts w:hint="eastAsia"/>
        </w:rPr>
      </w:pPr>
      <w:r w:rsidRPr="00F5098B">
        <w:lastRenderedPageBreak/>
        <w:t>The edges connecting the drug node and residue</w:t>
      </w:r>
      <w:r w:rsidR="00D54EC4">
        <w:rPr>
          <w:rFonts w:hint="eastAsia"/>
        </w:rPr>
        <w:t xml:space="preserve"> </w:t>
      </w:r>
      <w:r w:rsidRPr="00F5098B">
        <w:t>nodes in the protein graph indicate the interaction between</w:t>
      </w:r>
      <w:r w:rsidR="00D54EC4">
        <w:rPr>
          <w:rFonts w:hint="eastAsia"/>
        </w:rPr>
        <w:t xml:space="preserve"> </w:t>
      </w:r>
      <w:r w:rsidRPr="00F5098B">
        <w:t>residues and drug molecule as well as the binding site.</w:t>
      </w:r>
    </w:p>
    <w:p w14:paraId="56C21F37" w14:textId="77777777" w:rsidR="004505C2" w:rsidRDefault="004505C2" w:rsidP="004505C2">
      <w:pPr>
        <w:rPr>
          <w:rFonts w:hint="eastAsia"/>
        </w:rPr>
      </w:pPr>
    </w:p>
    <w:p w14:paraId="6E315AE9" w14:textId="27B22F25" w:rsidR="007D6C51" w:rsidRDefault="007D6C51" w:rsidP="007D6C51">
      <w:pPr>
        <w:rPr>
          <w:rFonts w:hint="eastAsia"/>
        </w:rPr>
      </w:pPr>
      <w:r w:rsidRPr="007D6C51">
        <w:rPr>
          <w:rFonts w:hint="eastAsia"/>
        </w:rPr>
        <w:t>我们希望假设，我们的早期融合方法结合自注意力机制具有两个优势。首先，早期融合方法明确地对药物图和目标蛋白质图之间的相互作用进行建模。其次，自注意力机制使得学习模型更具可解释性，能够展示哪些残基与药物分子相互作用以及它们对结合过程的贡献程度。我们将在后续实验中验证这些假设。</w:t>
      </w:r>
    </w:p>
    <w:p w14:paraId="43E82F2E" w14:textId="589F78E2" w:rsidR="006F014F" w:rsidRDefault="00F33408" w:rsidP="00F33408">
      <w:pPr>
        <w:rPr>
          <w:rFonts w:hint="eastAsia"/>
        </w:rPr>
      </w:pPr>
      <w:r>
        <w:rPr>
          <w:rFonts w:hint="eastAsia"/>
        </w:rPr>
        <w:t>[</w:t>
      </w:r>
      <w:r w:rsidRPr="00F33408">
        <w:t>GEFA: Early Fusion Approach in Drug-Target</w:t>
      </w:r>
      <w:r w:rsidR="007B41CA">
        <w:rPr>
          <w:rFonts w:hint="eastAsia"/>
        </w:rPr>
        <w:t xml:space="preserve"> </w:t>
      </w:r>
      <w:r w:rsidRPr="00F33408">
        <w:t>Affinity Prediction</w:t>
      </w:r>
      <w:r>
        <w:rPr>
          <w:rFonts w:hint="eastAsia"/>
        </w:rPr>
        <w:t>]</w:t>
      </w:r>
    </w:p>
    <w:p w14:paraId="29A7C0BF" w14:textId="77777777" w:rsidR="006F014F" w:rsidRDefault="006F014F" w:rsidP="0036147F"/>
    <w:p w14:paraId="6A64E7D9" w14:textId="77777777" w:rsidR="006F014F" w:rsidRDefault="006F014F" w:rsidP="0036147F"/>
    <w:p w14:paraId="1CCF1E4E" w14:textId="77777777" w:rsidR="006F014F" w:rsidRDefault="006F014F" w:rsidP="0036147F"/>
    <w:p w14:paraId="7FFC4E80" w14:textId="77777777" w:rsidR="006F014F" w:rsidRDefault="006F014F" w:rsidP="0036147F"/>
    <w:p w14:paraId="31787DD8" w14:textId="77777777" w:rsidR="006F014F" w:rsidRDefault="006F014F" w:rsidP="0036147F"/>
    <w:p w14:paraId="4045FF09" w14:textId="77777777" w:rsidR="006F014F" w:rsidRDefault="006F014F" w:rsidP="0036147F"/>
    <w:p w14:paraId="6E7153F2" w14:textId="77777777" w:rsidR="006F014F" w:rsidRDefault="006F014F" w:rsidP="0036147F"/>
    <w:p w14:paraId="1A786DD6" w14:textId="77777777" w:rsidR="006F014F" w:rsidRDefault="006F014F" w:rsidP="0036147F"/>
    <w:p w14:paraId="27718FEB" w14:textId="77777777" w:rsidR="006F014F" w:rsidRPr="006F014F" w:rsidRDefault="006F014F" w:rsidP="0036147F">
      <w:pPr>
        <w:rPr>
          <w:rFonts w:hint="eastAsia"/>
        </w:rPr>
      </w:pPr>
    </w:p>
    <w:p w14:paraId="0BF752E1" w14:textId="62887B17" w:rsidR="009D3555" w:rsidRDefault="00B02D7A" w:rsidP="0036147F">
      <w:r>
        <w:rPr>
          <w:rFonts w:hint="eastAsia"/>
        </w:rPr>
        <w:t>1111</w:t>
      </w:r>
      <w:r>
        <w:rPr>
          <w:rFonts w:hint="eastAsia"/>
        </w:rPr>
        <w:fldChar w:fldCharType="begin"/>
      </w:r>
      <w:r w:rsidR="00B81A7C">
        <w:rPr>
          <w:rFonts w:hint="eastAsia"/>
        </w:rPr>
        <w:instrText xml:space="preserve"> ADDIN ZOTERO_ITEM CSL_CITATION {"citationID":"jrOJZ9E8","properties":{"formattedCitation":"[1]","plainCitation":"[1]","noteIndex":0},"citationItems":[{"id":146,"uris":["http://zotero.org/users/14704831/items/BMV72WCN","http://zotero.org/users/14704831/items/WXBQ68GE"],"itemData":{"id":146,"type":"article-journal","abstract":"Prediction of drug-target interactions (DTIs) is a crucial step in drug discovery, and deep learning methods have shown great promise on various DTI datasets. However, existing approaches still face several challenges, including limited labeled data, hidden bias issue, and a lack of generalization ability to out-of-domain data. These challenges hinder the model’s capacity to learn truly informative interaction features, leading to shortcut learning and inferior predictive performance on novel drug-target pairs. To address these issues, we propose MlanDTI, a semi-supervised domain adaptive multilevel attention network (Mlan) for DTI prediction. We utilize two pre-trained BERT models to acquire bidirectional representations enriched with information from unlabeled data. Then, we introduce a multilevel attention mechanism, enabling the model to learn domain-invariant DTIs at different hierarchical levels. Moreover, we present a simple yet effective semi-supervised pseudo-labeling method to further enhance our model’s predictive ability in cross-domain scenarios. Experiments on four datasets show that MlanDTI achieves state-of-the-art performances over other methods under intra-domain settings and outperforms all other approaches under cross-domain settings. The source code is available at https://github.com/CMACH508/MlanDTI.","container-title":"Proceedings of the AAAI Conference on Artificial Intelligence","DOI":"10.1609/aaai.v38i1.27786","ISSN":"2374-3468, 2159-5399","issue":"1","journalAbbreviation":"AAAI","language":"en","page":"329-337","source":"DOI.org (Crossref)","title":"Multilevel Attention Network with Semi-supervised Domain Adaptation for Drug-Target Prediction","volume":"38","author":[{"family":"Xie","given":"Zhousan"},{"family":"Tu","given":"Shikui"},{"family":"Xu","given":"Lei"}],"issued":{"date-parts":[["2024",3,24]]}}}],"schema":"https://github.com/citation-style-language/schema/raw/master/csl-citation.json"} </w:instrText>
      </w:r>
      <w:r>
        <w:rPr>
          <w:rFonts w:hint="eastAsia"/>
        </w:rPr>
        <w:fldChar w:fldCharType="separate"/>
      </w:r>
      <w:r w:rsidRPr="00B02D7A">
        <w:rPr>
          <w:rFonts w:ascii="DengXian" w:eastAsia="DengXian" w:hAnsi="DengXian" w:hint="eastAsia"/>
        </w:rPr>
        <w:t>[1]</w:t>
      </w:r>
      <w:r>
        <w:rPr>
          <w:rFonts w:hint="eastAsia"/>
        </w:rPr>
        <w:fldChar w:fldCharType="end"/>
      </w:r>
      <w:r w:rsidR="007B0D41">
        <w:rPr>
          <w:rFonts w:hint="eastAsia"/>
        </w:rPr>
        <w:t>222</w:t>
      </w:r>
      <w:r w:rsidR="007B0D41">
        <w:rPr>
          <w:rFonts w:hint="eastAsia"/>
        </w:rPr>
        <w:fldChar w:fldCharType="begin"/>
      </w:r>
      <w:r w:rsidR="007B0D41">
        <w:rPr>
          <w:rFonts w:hint="eastAsia"/>
        </w:rPr>
        <w:instrText xml:space="preserve"> ADDIN ZOTERO_ITEM CSL_CITATION {"citationID":"X85ZvYWn","properties":{"formattedCitation":"[2]","plainCitation":"[2]","noteIndex":0},"citationItems":[{"id":429,"uris":["http://zotero.org/users/14704831/items/SQ5H6YDR"],"itemData":{"id":429,"type":"article-journal","abstract":"Link prediction is a key problem for network-structured data. Link prediction heuristics use some score functions, such as common neighbors and Katz index, to measure the likelihood of links. They have obtained wide practical uses due to their simplicity, interpretability, and for some of them, scalability. However, every heuristic has a strong assumption on when two nodes are likely to link, which limits their effectiveness on networks where these assumptions fail. In this regard, </w:instrText>
      </w:r>
      <w:r w:rsidR="007B0D41">
        <w:instrText>a more reasonable way should be learning a suitable heuristic from a given network instead of using prede</w:instrText>
      </w:r>
      <w:r w:rsidR="007B0D41">
        <w:rPr>
          <w:rFonts w:ascii="Times New Roman" w:hAnsi="Times New Roman" w:cs="Times New Roman"/>
        </w:rPr>
        <w:instrText>ﬁ</w:instrText>
      </w:r>
      <w:r w:rsidR="007B0D41">
        <w:instrText xml:space="preserve">ned ones. By extracting a local subgraph around each target link, we aim to learn a function mapping the subgraph patterns to link existence, thus automatically learning a </w:instrText>
      </w:r>
      <w:r w:rsidR="007B0D41">
        <w:rPr>
          <w:rFonts w:ascii="DengXian" w:eastAsia="DengXian" w:hAnsi="DengXian" w:cs="DengXian" w:hint="eastAsia"/>
        </w:rPr>
        <w:instrText>“</w:instrText>
      </w:r>
      <w:r w:rsidR="007B0D41">
        <w:instrText>heuristic</w:instrText>
      </w:r>
      <w:r w:rsidR="007B0D41">
        <w:rPr>
          <w:rFonts w:ascii="DengXian" w:eastAsia="DengXian" w:hAnsi="DengXian" w:cs="DengXian" w:hint="eastAsia"/>
        </w:rPr>
        <w:instrText>”</w:instrText>
      </w:r>
      <w:r w:rsidR="007B0D41">
        <w:instrText xml:space="preserve"> that suits the current network. In this paper, we study this heuristic learning paradigm for link prediction. First, we develop a novel -decaying heuristic theory. The theory uni</w:instrText>
      </w:r>
      <w:r w:rsidR="007B0D41">
        <w:rPr>
          <w:rFonts w:ascii="Times New Roman" w:hAnsi="Times New Roman" w:cs="Times New Roman"/>
        </w:rPr>
        <w:instrText>ﬁ</w:instrText>
      </w:r>
      <w:r w:rsidR="007B0D41">
        <w:instrText>es a wide range of heuristics in a single</w:instrText>
      </w:r>
      <w:r w:rsidR="007B0D41">
        <w:rPr>
          <w:rFonts w:hint="eastAsia"/>
        </w:rPr>
        <w:instrText xml:space="preserve"> framework, and proves that all these heuristics can be well approximated from local subgraphs. Our results show that local subgraphs reserve rich information related to link existence. Second, based on the -decaying theory, we propose a new method to learn heuristics from local subgraphs using a graph neural network (GNN). Its experimental results show unprecedented performance, working consistently well on a wide range of problems.","language":"en","source":"Zotero","title":"Link Prediction Based on Graph Neural Networks","author":[{"family":"Zhang","given":"Muhan"},{"family":"Chen","given":"Yixin"}]}}],"schema":"https://github.com/citation-style-language/schema/raw/master/csl-citation.json"} </w:instrText>
      </w:r>
      <w:r w:rsidR="007B0D41">
        <w:rPr>
          <w:rFonts w:hint="eastAsia"/>
        </w:rPr>
        <w:fldChar w:fldCharType="separate"/>
      </w:r>
      <w:r w:rsidR="007B0D41" w:rsidRPr="007B0D41">
        <w:rPr>
          <w:rFonts w:ascii="DengXian" w:eastAsia="DengXian" w:hAnsi="DengXian" w:hint="eastAsia"/>
        </w:rPr>
        <w:t>[2]</w:t>
      </w:r>
      <w:r w:rsidR="007B0D41">
        <w:rPr>
          <w:rFonts w:hint="eastAsia"/>
        </w:rPr>
        <w:fldChar w:fldCharType="end"/>
      </w:r>
      <w:r w:rsidR="009E46EB">
        <w:rPr>
          <w:rFonts w:hint="eastAsia"/>
        </w:rPr>
        <w:t>33</w:t>
      </w:r>
      <w:r w:rsidR="009E46EB">
        <w:rPr>
          <w:rFonts w:hint="eastAsia"/>
        </w:rPr>
        <w:fldChar w:fldCharType="begin"/>
      </w:r>
      <w:r w:rsidR="009E46EB">
        <w:rPr>
          <w:rFonts w:hint="eastAsia"/>
        </w:rPr>
        <w:instrText xml:space="preserve"> ADDIN ZOTERO_ITEM CSL_CITATION {"citationID":"NAtCxP9Q","properties":{"formattedCitation":"[3]","plainCitation":"[3]","noteIndex":0},"citationItems":[{"id":431,"uris":["http://zotero.org/users/14704831/items/TZF364R4"],"itemData":{"id":431,"type":"article-journal","abstract":"Motivation: The use of drug combinations, termed polypharmacy, is common to treat patients with complex diseases or co-existing conditions. However, a major consequence of polypharmacy is a much higher risk of adverse side effects for the patient. Polypharmacy side effects emerge because of drug–drug interactions, in which activity of one drug may change, favorably or unfavorably, if taken with another drug. The knowledge of drug interactions is often limited because these complex r</w:instrText>
      </w:r>
      <w:r w:rsidR="009E46EB">
        <w:instrText>elationships are rare, and are usually not observed in relatively small clinical testing. Discovering polypharmacy side effects thus remains an important challenge with signi</w:instrText>
      </w:r>
      <w:r w:rsidR="009E46EB">
        <w:rPr>
          <w:rFonts w:ascii="Times New Roman" w:hAnsi="Times New Roman" w:cs="Times New Roman"/>
        </w:rPr>
        <w:instrText>ﬁ</w:instrText>
      </w:r>
      <w:r w:rsidR="009E46EB">
        <w:instrText>cant implications for patient mortality and morbidity.","container-title":"Bioin</w:instrText>
      </w:r>
      <w:r w:rsidR="009E46EB">
        <w:rPr>
          <w:rFonts w:hint="eastAsia"/>
        </w:rPr>
        <w:instrText xml:space="preserve">formatics","DOI":"10.1093/bioinformatics/bty294","ISSN":"1367-4803, 1367-4811","issue":"13","language":"en","license":"http://creativecommons.org/licenses/by-nc/4.0/","page":"i457-i466","source":"DOI.org (Crossref)","title":"Modeling polypharmacy side effects with graph convolutional networks","volume":"34","author":[{"family":"Zitnik","given":"Marinka"},{"family":"Agrawal","given":"Monica"},{"family":"Leskovec","given":"Jure"}],"issued":{"date-parts":[["2018",7,1]]}}}],"schema":"https://github.com/citation-style-language/schema/raw/master/csl-citation.json"} </w:instrText>
      </w:r>
      <w:r w:rsidR="009E46EB">
        <w:rPr>
          <w:rFonts w:hint="eastAsia"/>
        </w:rPr>
        <w:fldChar w:fldCharType="separate"/>
      </w:r>
      <w:r w:rsidR="009E46EB" w:rsidRPr="009E46EB">
        <w:rPr>
          <w:rFonts w:ascii="DengXian" w:eastAsia="DengXian" w:hAnsi="DengXian" w:hint="eastAsia"/>
        </w:rPr>
        <w:t>[3]</w:t>
      </w:r>
      <w:r w:rsidR="009E46EB">
        <w:rPr>
          <w:rFonts w:hint="eastAsia"/>
        </w:rPr>
        <w:fldChar w:fldCharType="end"/>
      </w:r>
      <w:r w:rsidR="00B5509B">
        <w:rPr>
          <w:rFonts w:hint="eastAsia"/>
        </w:rPr>
        <w:t>44</w:t>
      </w:r>
      <w:r w:rsidR="00B5509B">
        <w:rPr>
          <w:rFonts w:hint="eastAsia"/>
        </w:rPr>
        <w:fldChar w:fldCharType="begin"/>
      </w:r>
      <w:r w:rsidR="00B5509B">
        <w:rPr>
          <w:rFonts w:hint="eastAsia"/>
        </w:rPr>
        <w:instrText xml:space="preserve"> ADDIN ZOTERO_ITEM CSL_CITATION {"citationID":"mtfzLbep","properties":{"formattedCitation":"[4]","plainCitation":"[4]","noteIndex":0},"citationItems":[{"id":433,"uris":["http://zotero.org/users/14704831/items/D4NHY67Q"],"itemData":{"id":433,"type":"articl</w:instrText>
      </w:r>
      <w:r w:rsidR="00B5509B">
        <w:instrText>e-journal","abstract":"Developing new drugs is too expensive and time -consuming. Accurately predicting the interaction between drugs and targets will likely change how the drug is discovered. Machine learning-based protein</w:instrText>
      </w:r>
      <w:r w:rsidR="00B5509B">
        <w:rPr>
          <w:rFonts w:ascii="Cambria Math" w:hAnsi="Cambria Math" w:cs="Cambria Math"/>
        </w:rPr>
        <w:instrText>−</w:instrText>
      </w:r>
      <w:r w:rsidR="00B5509B">
        <w:instrText>ligand interaction prediction has demonstrated significant potential. In this paper, computational methods, focusing on sequence and structure to study protein</w:instrText>
      </w:r>
      <w:r w:rsidR="00B5509B">
        <w:rPr>
          <w:rFonts w:ascii="Cambria Math" w:hAnsi="Cambria Math" w:cs="Cambria Math"/>
        </w:rPr>
        <w:instrText>−</w:instrText>
      </w:r>
      <w:r w:rsidR="00B5509B">
        <w:instrText>ligand interactions, are examined. Therefore, this paper starts by presenting an overview of the data sets applied in this are</w:instrText>
      </w:r>
      <w:r w:rsidR="00B5509B">
        <w:rPr>
          <w:rFonts w:hint="eastAsia"/>
        </w:rPr>
        <w:instrText xml:space="preserve">a, as well as the various approaches applied for representing proteins and ligands. Then, sequence-based and structure-based classification criteria are subsequently utilized to categorize and summarize both the classical machine learning models and deep </w:instrText>
      </w:r>
      <w:r w:rsidR="00B5509B">
        <w:instrText>learning models employed in protein</w:instrText>
      </w:r>
      <w:r w:rsidR="00B5509B">
        <w:rPr>
          <w:rFonts w:ascii="Cambria Math" w:hAnsi="Cambria Math" w:cs="Cambria Math"/>
        </w:rPr>
        <w:instrText>−</w:instrText>
      </w:r>
      <w:r w:rsidR="00B5509B">
        <w:instrText>ligand interaction studies. Moreover, the evaluation methods and interpretability of these models are proposed. Furthermore, delving into the diverse applications of protein</w:instrText>
      </w:r>
      <w:r w:rsidR="00B5509B">
        <w:rPr>
          <w:rFonts w:ascii="Cambria Math" w:hAnsi="Cambria Math" w:cs="Cambria Math"/>
        </w:rPr>
        <w:instrText>−</w:instrText>
      </w:r>
      <w:r w:rsidR="00B5509B">
        <w:instrText>ligand interaction models in drug research is</w:instrText>
      </w:r>
      <w:r w:rsidR="00B5509B">
        <w:rPr>
          <w:rFonts w:hint="eastAsia"/>
        </w:rPr>
        <w:instrText xml:space="preserve"> presented. Lastly, the current challenges and future directions in this field are addressed.","container-title":"Journal of Chemical Information and Modeling","DOI":"10.1021/acs.jcim.3c01841","ISSN":"1549-9596, 1549-960X","issue":"5","journalAbbreviation":"J. Chem. Inf. Model.","language":"en","license":"https://doi.org/10.15223/policy-029","page":"1456-1472","source":"DOI.org (Crossref)","title":"Machine Learning for Sequence and Structure-Based Protein–Ligand Interaction Prediction","volume":"64","author":[{"family":"Zhang","given":"Yunjiang"},{"family":"Li","given":"Shuyuan"},{"family":"Meng","given":"Kong"},{"family":"Sun","given":"Shaorui"}],"issued":{"date-parts":[["2024",3,11]]}}}],"schema":"https://github.com/citation-style-language/schema/raw/master/csl-citation.json"} </w:instrText>
      </w:r>
      <w:r w:rsidR="00B5509B">
        <w:rPr>
          <w:rFonts w:hint="eastAsia"/>
        </w:rPr>
        <w:fldChar w:fldCharType="separate"/>
      </w:r>
      <w:r w:rsidR="00B5509B" w:rsidRPr="00B5509B">
        <w:rPr>
          <w:rFonts w:ascii="DengXian" w:eastAsia="DengXian" w:hAnsi="DengXian" w:hint="eastAsia"/>
        </w:rPr>
        <w:t>[4]</w:t>
      </w:r>
      <w:r w:rsidR="00B5509B">
        <w:rPr>
          <w:rFonts w:hint="eastAsia"/>
        </w:rPr>
        <w:fldChar w:fldCharType="end"/>
      </w:r>
      <w:r w:rsidR="00B81A7C">
        <w:rPr>
          <w:rFonts w:hint="eastAsia"/>
        </w:rPr>
        <w:t>555</w:t>
      </w:r>
      <w:r w:rsidR="00B81A7C">
        <w:rPr>
          <w:rFonts w:hint="eastAsia"/>
        </w:rPr>
        <w:fldChar w:fldCharType="begin"/>
      </w:r>
      <w:r w:rsidR="00B81A7C">
        <w:rPr>
          <w:rFonts w:hint="eastAsia"/>
        </w:rPr>
        <w:instrText xml:space="preserve"> ADDIN ZOTERO_ITEM CSL_CITATION {"citationID":"bdKKaQyH","properties":{"formattedCitation":"[5]","plainCitation":"[5]","noteIndex":0},"citationItems":[{"id":437,"uris":["http://zotero.org/users/14704831/items/6K3YUNPP"],"itemData":{"id":437,"type":"article-journal","abstract":"Compound-Protein Interaction (CPI) prediction aims to predict the pattern and strength of compound-protein interactions for rational drug discovery. Existing deep learningbased methods utilize only the single modality of protein sequences or structures and lack the co-modeling of the joint distribution of the two modalities, which may lead to significant performance drops in complex real-world scenarios due to various factors, e.g., modality missing and domain shifting. More importantly, these methods only model protein sequences and structures at a single fixed scale, neglecting more fine-grained multi-scale information, such as those embedded in key protein fragments. In this paper, we propose a novel multi-scale Protein Sequence-structure Contrasting framework for CPI prediction (PSC-CPI), which captures the dependencies between protein sequences and structures through both intra-modality and cross-modality contrasting. We further apply length-variable protein augmentation to allow contrasting to be performed at different scales, from the amino acid level to the sequence level. Finally, in order to more fairly evaluate the model generalizability, we split the test data into four settings based on whether compounds and proteins have been observed during the training stage. Extensive experiments have shown that PSC-CPI generalizes well in all four settings, particularly in the more challenging “Unseen-Both” setting, where neither compounds nor proteins have been observed during training. Furthermore, even when encountering a situation of modality missing, i.e., inference with only single-modality data, PSC-CPI still exhibits comparable or even better performance than previous approaches.","container-title":"Proceedings of the AAAI Conference on Artificial Intelligence","DOI":"10.1609/aaai.v38i1.27784","ISSN":"2374-3468, 2159-5399","issue":"1","journalAbbreviation":"AAAI","language":"en","page":"310-319","source":"DOI.org (Crossref)","title":"PSC-CPI: Multi-Scale Protein Sequence-Structure Contrasting for Efficient and Generalizable Compound-Protein Interaction Prediction","title-short":"PSC-CPI","volume":"38","author":[{"family":"Wu","given":"Lirong"},{"family":"Huang","given":"Yufei"},{"family":"Tan","given":"Cheng"},{"family":"Gao","given":"Zhangyang"},{"family":"Hu","given":"Bozhen"},{"family":"Lin","given":"Haitao"},{"family":"Liu","given":"Zicheng"},{"family":"Li","given":"Stan Z."}],"issued":{"date-parts":[["2024",3,24]]}}}],"schema":"https://github.com/citation-style-language/schema/raw/master/csl-citation.json"} </w:instrText>
      </w:r>
      <w:r w:rsidR="00B81A7C">
        <w:rPr>
          <w:rFonts w:hint="eastAsia"/>
        </w:rPr>
        <w:fldChar w:fldCharType="separate"/>
      </w:r>
      <w:r w:rsidR="00B81A7C" w:rsidRPr="00B81A7C">
        <w:rPr>
          <w:rFonts w:ascii="DengXian" w:eastAsia="DengXian" w:hAnsi="DengXian" w:hint="eastAsia"/>
        </w:rPr>
        <w:t>[5]</w:t>
      </w:r>
      <w:r w:rsidR="00B81A7C">
        <w:rPr>
          <w:rFonts w:hint="eastAsia"/>
        </w:rPr>
        <w:fldChar w:fldCharType="end"/>
      </w:r>
      <w:r w:rsidR="00262FB5">
        <w:rPr>
          <w:rFonts w:hint="eastAsia"/>
        </w:rPr>
        <w:t>666</w:t>
      </w:r>
      <w:r w:rsidR="00262FB5">
        <w:rPr>
          <w:rFonts w:hint="eastAsia"/>
        </w:rPr>
        <w:fldChar w:fldCharType="begin"/>
      </w:r>
      <w:r w:rsidR="00262FB5">
        <w:rPr>
          <w:rFonts w:hint="eastAsia"/>
        </w:rPr>
        <w:instrText xml:space="preserve"> ADDIN ZOTERO_ITEM CSL_CITATION {"citationID":"3N0oJiiF","properties":{"formattedCitation":"[6]","plainCitation":"[6]","noteIndex":0},"citationItems":[{"id":439,"uris":["http://zotero.org/users/14704831/items/5GDPGNW3"],"itemData":{"id":439,"type":"article-journal","abstract":"A key metric to assess molecular docking remains ligand enrichment against challenging decoys. Whereas the directory of useful decoys (DUD) has been widely used, clear areas for optimization have emerged. Here we describe an improved benchmarking set that includes more diverse targets such as GPCRs and ion channels, totaling 102 proteins with 22886 clustered ligands drawn from ChEMBL, each with 50 property-matched decoys drawn from ZINC. To ensure chemotype diversity, we cluster eac</w:instrText>
      </w:r>
      <w:r w:rsidR="00262FB5">
        <w:instrText>h target’s ligands by their Bemis</w:instrText>
      </w:r>
      <w:r w:rsidR="00262FB5">
        <w:rPr>
          <w:rFonts w:ascii="Cambria Math" w:hAnsi="Cambria Math" w:cs="Cambria Math"/>
        </w:rPr>
        <w:instrText>−</w:instrText>
      </w:r>
      <w:r w:rsidR="00262FB5">
        <w:instrText>Murcko atomic frameworks. We add net charge to the matched physicochemical properties and include only the most dissimilar decoys, by topology, from the ligands. An online automated tool (http://decoys.docking.org) genera</w:instrText>
      </w:r>
      <w:r w:rsidR="00262FB5">
        <w:rPr>
          <w:rFonts w:hint="eastAsia"/>
        </w:rPr>
        <w:instrText xml:space="preserve">tes these improved matched decoys for user-supplied ligands. We test this data set by docking all 102 targets, using the results to improve the balance between ligand desolvation and electrostatics in DOCK 3.6. The complete DUD-E benchmarking set is freely available at http://dude.docking.org.","container-title":"Journal of Medicinal Chemistry","DOI":"10.1021/jm300687e","ISSN":"0022-2623, 1520-4804","issue":"14","journalAbbreviation":"J. Med. Chem.","language":"en","license":"http://pubs.acs.org/page/policy/authorchoice_termsofuse.html","page":"6582-6594","source":"DOI.org (Crossref)","title":"Directory of Useful Decoys, Enhanced (DUD-E): Better Ligands and Decoys for Better Benchmarking","title-short":"Directory of Useful Decoys, Enhanced (DUD-E)","volume":"55","author":[{"family":"Mysinger","given":"Michael M."},{"family":"Carchia","given":"Michael"},{"family":"Irwin","given":"John. J."},{"family":"Shoichet","given":"Brian K."}],"issued":{"date-parts":[["2012",7,26]]}}}],"schema":"https://github.com/citation-style-language/schema/raw/master/csl-citation.json"} </w:instrText>
      </w:r>
      <w:r w:rsidR="00262FB5">
        <w:rPr>
          <w:rFonts w:hint="eastAsia"/>
        </w:rPr>
        <w:fldChar w:fldCharType="separate"/>
      </w:r>
      <w:r w:rsidR="00262FB5" w:rsidRPr="00262FB5">
        <w:rPr>
          <w:rFonts w:ascii="DengXian" w:eastAsia="DengXian" w:hAnsi="DengXian" w:hint="eastAsia"/>
        </w:rPr>
        <w:t>[6]</w:t>
      </w:r>
      <w:r w:rsidR="00262FB5">
        <w:rPr>
          <w:rFonts w:hint="eastAsia"/>
        </w:rPr>
        <w:fldChar w:fldCharType="end"/>
      </w:r>
    </w:p>
    <w:p w14:paraId="59A9AF14" w14:textId="274C40D7" w:rsidR="002B396F" w:rsidRDefault="003B0278" w:rsidP="00CD3350">
      <w:r>
        <w:rPr>
          <w:rFonts w:hint="eastAsia"/>
        </w:rPr>
        <w:t>参考文献：</w:t>
      </w:r>
    </w:p>
    <w:p w14:paraId="103A7958" w14:textId="2EF14770" w:rsidR="003B0278" w:rsidRPr="002B396F" w:rsidRDefault="003B0278" w:rsidP="00CD3350"/>
    <w:p w14:paraId="071DA29A" w14:textId="77777777" w:rsidR="00262FB5" w:rsidRPr="00262FB5" w:rsidRDefault="00B02D7A" w:rsidP="00262FB5">
      <w:pPr>
        <w:pStyle w:val="af5"/>
        <w:rPr>
          <w:rFonts w:ascii="DengXian" w:eastAsia="DengXian" w:hAnsi="DengXian"/>
        </w:rPr>
      </w:pPr>
      <w:r>
        <w:rPr>
          <w:rFonts w:hint="eastAsia"/>
        </w:rPr>
        <w:fldChar w:fldCharType="begin"/>
      </w:r>
      <w:r>
        <w:rPr>
          <w:rFonts w:hint="eastAsia"/>
        </w:rPr>
        <w:instrText xml:space="preserve"> ADDIN ZOTERO_BIBL {"uncited":[],"omitted":[],"custom":[]} CSL_BIBLIOGRAPHY </w:instrText>
      </w:r>
      <w:r>
        <w:rPr>
          <w:rFonts w:hint="eastAsia"/>
        </w:rPr>
        <w:fldChar w:fldCharType="separate"/>
      </w:r>
      <w:r w:rsidR="00262FB5" w:rsidRPr="00262FB5">
        <w:rPr>
          <w:rFonts w:ascii="DengXian" w:eastAsia="DengXian" w:hAnsi="DengXian"/>
        </w:rPr>
        <w:t>[1]</w:t>
      </w:r>
      <w:r w:rsidR="00262FB5" w:rsidRPr="00262FB5">
        <w:rPr>
          <w:rFonts w:ascii="DengXian" w:eastAsia="DengXian" w:hAnsi="DengXian"/>
        </w:rPr>
        <w:tab/>
        <w:t>Xie Z, Tu S, Xu L. Multilevel Attention Network with Semi-supervised Domain Adaptation for Drug-Target Prediction. AAAI 2024;38:329–37. https://doi.org/10.1609/aaai.v38i1.27786.</w:t>
      </w:r>
    </w:p>
    <w:p w14:paraId="16F3ACD0" w14:textId="77777777" w:rsidR="00262FB5" w:rsidRPr="00262FB5" w:rsidRDefault="00262FB5" w:rsidP="00262FB5">
      <w:pPr>
        <w:pStyle w:val="af5"/>
        <w:rPr>
          <w:rFonts w:ascii="DengXian" w:eastAsia="DengXian" w:hAnsi="DengXian"/>
        </w:rPr>
      </w:pPr>
      <w:r w:rsidRPr="00262FB5">
        <w:rPr>
          <w:rFonts w:ascii="DengXian" w:eastAsia="DengXian" w:hAnsi="DengXian"/>
        </w:rPr>
        <w:t>[2]</w:t>
      </w:r>
      <w:r w:rsidRPr="00262FB5">
        <w:rPr>
          <w:rFonts w:ascii="DengXian" w:eastAsia="DengXian" w:hAnsi="DengXian"/>
        </w:rPr>
        <w:tab/>
        <w:t>Zhang M, Chen Y. Link Prediction Based on Graph Neural Networks n.d.</w:t>
      </w:r>
    </w:p>
    <w:p w14:paraId="1D396A40" w14:textId="77777777" w:rsidR="00262FB5" w:rsidRPr="00262FB5" w:rsidRDefault="00262FB5" w:rsidP="00262FB5">
      <w:pPr>
        <w:pStyle w:val="af5"/>
        <w:rPr>
          <w:rFonts w:ascii="DengXian" w:eastAsia="DengXian" w:hAnsi="DengXian"/>
        </w:rPr>
      </w:pPr>
      <w:r w:rsidRPr="00262FB5">
        <w:rPr>
          <w:rFonts w:ascii="DengXian" w:eastAsia="DengXian" w:hAnsi="DengXian"/>
        </w:rPr>
        <w:t>[3]</w:t>
      </w:r>
      <w:r w:rsidRPr="00262FB5">
        <w:rPr>
          <w:rFonts w:ascii="DengXian" w:eastAsia="DengXian" w:hAnsi="DengXian"/>
        </w:rPr>
        <w:tab/>
        <w:t>Zitnik M, Agrawal M, Leskovec J. Modeling polypharmacy side effects with graph convolutional networks. Bioinformatics 2018;34:i457–66. https://doi.org/10.1093/bioinformatics/bty294.</w:t>
      </w:r>
    </w:p>
    <w:p w14:paraId="3EADE60D" w14:textId="77777777" w:rsidR="00262FB5" w:rsidRPr="00262FB5" w:rsidRDefault="00262FB5" w:rsidP="00262FB5">
      <w:pPr>
        <w:pStyle w:val="af5"/>
        <w:rPr>
          <w:rFonts w:ascii="DengXian" w:eastAsia="DengXian" w:hAnsi="DengXian"/>
        </w:rPr>
      </w:pPr>
      <w:r w:rsidRPr="00262FB5">
        <w:rPr>
          <w:rFonts w:ascii="DengXian" w:eastAsia="DengXian" w:hAnsi="DengXian"/>
        </w:rPr>
        <w:t>[4]</w:t>
      </w:r>
      <w:r w:rsidRPr="00262FB5">
        <w:rPr>
          <w:rFonts w:ascii="DengXian" w:eastAsia="DengXian" w:hAnsi="DengXian"/>
        </w:rPr>
        <w:tab/>
        <w:t>Zhang Y, Li S, Meng K, et al. Machine Learning for Sequence and Structure-Based Protein–Ligand Interaction Prediction. J Chem Inf Model 2024;64:1456–72. https://doi.org/10.1021/acs.jcim.3c01841.</w:t>
      </w:r>
    </w:p>
    <w:p w14:paraId="305F6188" w14:textId="77777777" w:rsidR="00262FB5" w:rsidRPr="00262FB5" w:rsidRDefault="00262FB5" w:rsidP="00262FB5">
      <w:pPr>
        <w:pStyle w:val="af5"/>
        <w:rPr>
          <w:rFonts w:ascii="DengXian" w:eastAsia="DengXian" w:hAnsi="DengXian"/>
        </w:rPr>
      </w:pPr>
      <w:r w:rsidRPr="00262FB5">
        <w:rPr>
          <w:rFonts w:ascii="DengXian" w:eastAsia="DengXian" w:hAnsi="DengXian"/>
        </w:rPr>
        <w:t>[5]</w:t>
      </w:r>
      <w:r w:rsidRPr="00262FB5">
        <w:rPr>
          <w:rFonts w:ascii="DengXian" w:eastAsia="DengXian" w:hAnsi="DengXian"/>
        </w:rPr>
        <w:tab/>
        <w:t>Wu L, Huang Y, Tan C, et al. PSC-CPI: Multi-Scale Protein Sequence-Structure Contrasting for Efficient and Generalizable Compound-Protein Interaction Prediction. AAAI 2024;38:310–9. https://doi.org/10.1609/aaai.v38i1.27784.</w:t>
      </w:r>
    </w:p>
    <w:p w14:paraId="562D6BF5" w14:textId="77777777" w:rsidR="00262FB5" w:rsidRPr="00262FB5" w:rsidRDefault="00262FB5" w:rsidP="00262FB5">
      <w:pPr>
        <w:pStyle w:val="af5"/>
        <w:rPr>
          <w:rFonts w:ascii="DengXian" w:eastAsia="DengXian" w:hAnsi="DengXian"/>
        </w:rPr>
      </w:pPr>
      <w:r w:rsidRPr="00262FB5">
        <w:rPr>
          <w:rFonts w:ascii="DengXian" w:eastAsia="DengXian" w:hAnsi="DengXian"/>
        </w:rPr>
        <w:lastRenderedPageBreak/>
        <w:t>[6]</w:t>
      </w:r>
      <w:r w:rsidRPr="00262FB5">
        <w:rPr>
          <w:rFonts w:ascii="DengXian" w:eastAsia="DengXian" w:hAnsi="DengXian"/>
        </w:rPr>
        <w:tab/>
        <w:t>Mysinger MM, Carchia M, Irwin JohnJ, et al. Directory of Useful Decoys, Enhanced (DUD-E): Better Ligands and Decoys for Better Benchmarking. J Med Chem 2012;55:6582–94. https://doi.org/10.1021/jm300687e.</w:t>
      </w:r>
    </w:p>
    <w:p w14:paraId="46FA29C3" w14:textId="7E0B6B93" w:rsidR="00CD3DFE" w:rsidRDefault="00B02D7A">
      <w:r>
        <w:rPr>
          <w:rFonts w:hint="eastAsia"/>
        </w:rPr>
        <w:fldChar w:fldCharType="end"/>
      </w:r>
    </w:p>
    <w:sectPr w:rsidR="00CD3DF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8AFD8" w14:textId="77777777" w:rsidR="005C550C" w:rsidRDefault="005C550C" w:rsidP="00475DFE">
      <w:pPr>
        <w:spacing w:after="0" w:line="240" w:lineRule="auto"/>
      </w:pPr>
      <w:r>
        <w:separator/>
      </w:r>
    </w:p>
  </w:endnote>
  <w:endnote w:type="continuationSeparator" w:id="0">
    <w:p w14:paraId="4C727A0D" w14:textId="77777777" w:rsidR="005C550C" w:rsidRDefault="005C550C" w:rsidP="00475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DF80C" w14:textId="77777777" w:rsidR="005C550C" w:rsidRDefault="005C550C" w:rsidP="00475DFE">
      <w:pPr>
        <w:spacing w:after="0" w:line="240" w:lineRule="auto"/>
      </w:pPr>
      <w:r>
        <w:separator/>
      </w:r>
    </w:p>
  </w:footnote>
  <w:footnote w:type="continuationSeparator" w:id="0">
    <w:p w14:paraId="7481D682" w14:textId="77777777" w:rsidR="005C550C" w:rsidRDefault="005C550C" w:rsidP="00475D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70C"/>
    <w:rsid w:val="000C3EF4"/>
    <w:rsid w:val="00134622"/>
    <w:rsid w:val="001C3B36"/>
    <w:rsid w:val="0020370C"/>
    <w:rsid w:val="00262FB5"/>
    <w:rsid w:val="002659EE"/>
    <w:rsid w:val="002B396F"/>
    <w:rsid w:val="002D5096"/>
    <w:rsid w:val="00345D98"/>
    <w:rsid w:val="0036147F"/>
    <w:rsid w:val="003B0278"/>
    <w:rsid w:val="003C4F6A"/>
    <w:rsid w:val="003D48F5"/>
    <w:rsid w:val="003F42F4"/>
    <w:rsid w:val="00440782"/>
    <w:rsid w:val="004505C2"/>
    <w:rsid w:val="0047249C"/>
    <w:rsid w:val="00475DFE"/>
    <w:rsid w:val="004F106B"/>
    <w:rsid w:val="005C550C"/>
    <w:rsid w:val="005D73F4"/>
    <w:rsid w:val="006014A1"/>
    <w:rsid w:val="006D4234"/>
    <w:rsid w:val="006F014F"/>
    <w:rsid w:val="007B0D41"/>
    <w:rsid w:val="007B41CA"/>
    <w:rsid w:val="007C14D1"/>
    <w:rsid w:val="007D6C51"/>
    <w:rsid w:val="007E3689"/>
    <w:rsid w:val="008C0A87"/>
    <w:rsid w:val="008D4BFD"/>
    <w:rsid w:val="00942BA4"/>
    <w:rsid w:val="009D3555"/>
    <w:rsid w:val="009E46EB"/>
    <w:rsid w:val="00A13108"/>
    <w:rsid w:val="00A44F71"/>
    <w:rsid w:val="00A67DA1"/>
    <w:rsid w:val="00A94A75"/>
    <w:rsid w:val="00AC7DAE"/>
    <w:rsid w:val="00B02D7A"/>
    <w:rsid w:val="00B5509B"/>
    <w:rsid w:val="00B81A7C"/>
    <w:rsid w:val="00B825F8"/>
    <w:rsid w:val="00BB0A62"/>
    <w:rsid w:val="00C2122F"/>
    <w:rsid w:val="00C227A4"/>
    <w:rsid w:val="00C526BA"/>
    <w:rsid w:val="00C9649D"/>
    <w:rsid w:val="00CB4625"/>
    <w:rsid w:val="00CD3350"/>
    <w:rsid w:val="00CD3DFE"/>
    <w:rsid w:val="00D21EAE"/>
    <w:rsid w:val="00D54EC4"/>
    <w:rsid w:val="00DA747C"/>
    <w:rsid w:val="00F33408"/>
    <w:rsid w:val="00F5098B"/>
    <w:rsid w:val="00F7529B"/>
    <w:rsid w:val="00F865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C0283"/>
  <w15:chartTrackingRefBased/>
  <w15:docId w15:val="{91F88DD5-3754-4C69-B83D-1C356CD0F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0370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0370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0370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0370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0370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0370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0370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370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0370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370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0370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0370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0370C"/>
    <w:rPr>
      <w:rFonts w:cstheme="majorBidi"/>
      <w:color w:val="0F4761" w:themeColor="accent1" w:themeShade="BF"/>
      <w:sz w:val="28"/>
      <w:szCs w:val="28"/>
    </w:rPr>
  </w:style>
  <w:style w:type="character" w:customStyle="1" w:styleId="50">
    <w:name w:val="标题 5 字符"/>
    <w:basedOn w:val="a0"/>
    <w:link w:val="5"/>
    <w:uiPriority w:val="9"/>
    <w:semiHidden/>
    <w:rsid w:val="0020370C"/>
    <w:rPr>
      <w:rFonts w:cstheme="majorBidi"/>
      <w:color w:val="0F4761" w:themeColor="accent1" w:themeShade="BF"/>
      <w:sz w:val="24"/>
    </w:rPr>
  </w:style>
  <w:style w:type="character" w:customStyle="1" w:styleId="60">
    <w:name w:val="标题 6 字符"/>
    <w:basedOn w:val="a0"/>
    <w:link w:val="6"/>
    <w:uiPriority w:val="9"/>
    <w:semiHidden/>
    <w:rsid w:val="0020370C"/>
    <w:rPr>
      <w:rFonts w:cstheme="majorBidi"/>
      <w:b/>
      <w:bCs/>
      <w:color w:val="0F4761" w:themeColor="accent1" w:themeShade="BF"/>
    </w:rPr>
  </w:style>
  <w:style w:type="character" w:customStyle="1" w:styleId="70">
    <w:name w:val="标题 7 字符"/>
    <w:basedOn w:val="a0"/>
    <w:link w:val="7"/>
    <w:uiPriority w:val="9"/>
    <w:semiHidden/>
    <w:rsid w:val="0020370C"/>
    <w:rPr>
      <w:rFonts w:cstheme="majorBidi"/>
      <w:b/>
      <w:bCs/>
      <w:color w:val="595959" w:themeColor="text1" w:themeTint="A6"/>
    </w:rPr>
  </w:style>
  <w:style w:type="character" w:customStyle="1" w:styleId="80">
    <w:name w:val="标题 8 字符"/>
    <w:basedOn w:val="a0"/>
    <w:link w:val="8"/>
    <w:uiPriority w:val="9"/>
    <w:semiHidden/>
    <w:rsid w:val="0020370C"/>
    <w:rPr>
      <w:rFonts w:cstheme="majorBidi"/>
      <w:color w:val="595959" w:themeColor="text1" w:themeTint="A6"/>
    </w:rPr>
  </w:style>
  <w:style w:type="character" w:customStyle="1" w:styleId="90">
    <w:name w:val="标题 9 字符"/>
    <w:basedOn w:val="a0"/>
    <w:link w:val="9"/>
    <w:uiPriority w:val="9"/>
    <w:semiHidden/>
    <w:rsid w:val="0020370C"/>
    <w:rPr>
      <w:rFonts w:eastAsiaTheme="majorEastAsia" w:cstheme="majorBidi"/>
      <w:color w:val="595959" w:themeColor="text1" w:themeTint="A6"/>
    </w:rPr>
  </w:style>
  <w:style w:type="paragraph" w:styleId="a3">
    <w:name w:val="Title"/>
    <w:basedOn w:val="a"/>
    <w:next w:val="a"/>
    <w:link w:val="a4"/>
    <w:uiPriority w:val="10"/>
    <w:qFormat/>
    <w:rsid w:val="0020370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37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370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370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370C"/>
    <w:pPr>
      <w:spacing w:before="160"/>
      <w:jc w:val="center"/>
    </w:pPr>
    <w:rPr>
      <w:i/>
      <w:iCs/>
      <w:color w:val="404040" w:themeColor="text1" w:themeTint="BF"/>
    </w:rPr>
  </w:style>
  <w:style w:type="character" w:customStyle="1" w:styleId="a8">
    <w:name w:val="引用 字符"/>
    <w:basedOn w:val="a0"/>
    <w:link w:val="a7"/>
    <w:uiPriority w:val="29"/>
    <w:rsid w:val="0020370C"/>
    <w:rPr>
      <w:i/>
      <w:iCs/>
      <w:color w:val="404040" w:themeColor="text1" w:themeTint="BF"/>
    </w:rPr>
  </w:style>
  <w:style w:type="paragraph" w:styleId="a9">
    <w:name w:val="List Paragraph"/>
    <w:basedOn w:val="a"/>
    <w:uiPriority w:val="34"/>
    <w:qFormat/>
    <w:rsid w:val="0020370C"/>
    <w:pPr>
      <w:ind w:left="720"/>
      <w:contextualSpacing/>
    </w:pPr>
  </w:style>
  <w:style w:type="character" w:styleId="aa">
    <w:name w:val="Intense Emphasis"/>
    <w:basedOn w:val="a0"/>
    <w:uiPriority w:val="21"/>
    <w:qFormat/>
    <w:rsid w:val="0020370C"/>
    <w:rPr>
      <w:i/>
      <w:iCs/>
      <w:color w:val="0F4761" w:themeColor="accent1" w:themeShade="BF"/>
    </w:rPr>
  </w:style>
  <w:style w:type="paragraph" w:styleId="ab">
    <w:name w:val="Intense Quote"/>
    <w:basedOn w:val="a"/>
    <w:next w:val="a"/>
    <w:link w:val="ac"/>
    <w:uiPriority w:val="30"/>
    <w:qFormat/>
    <w:rsid w:val="00203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0370C"/>
    <w:rPr>
      <w:i/>
      <w:iCs/>
      <w:color w:val="0F4761" w:themeColor="accent1" w:themeShade="BF"/>
    </w:rPr>
  </w:style>
  <w:style w:type="character" w:styleId="ad">
    <w:name w:val="Intense Reference"/>
    <w:basedOn w:val="a0"/>
    <w:uiPriority w:val="32"/>
    <w:qFormat/>
    <w:rsid w:val="0020370C"/>
    <w:rPr>
      <w:b/>
      <w:bCs/>
      <w:smallCaps/>
      <w:color w:val="0F4761" w:themeColor="accent1" w:themeShade="BF"/>
      <w:spacing w:val="5"/>
    </w:rPr>
  </w:style>
  <w:style w:type="paragraph" w:styleId="ae">
    <w:name w:val="header"/>
    <w:basedOn w:val="a"/>
    <w:link w:val="af"/>
    <w:uiPriority w:val="99"/>
    <w:unhideWhenUsed/>
    <w:rsid w:val="00475DF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75DFE"/>
    <w:rPr>
      <w:sz w:val="18"/>
      <w:szCs w:val="18"/>
    </w:rPr>
  </w:style>
  <w:style w:type="paragraph" w:styleId="af0">
    <w:name w:val="footer"/>
    <w:basedOn w:val="a"/>
    <w:link w:val="af1"/>
    <w:uiPriority w:val="99"/>
    <w:unhideWhenUsed/>
    <w:rsid w:val="00475DF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75DFE"/>
    <w:rPr>
      <w:sz w:val="18"/>
      <w:szCs w:val="18"/>
    </w:rPr>
  </w:style>
  <w:style w:type="paragraph" w:styleId="af2">
    <w:name w:val="Normal (Web)"/>
    <w:basedOn w:val="a"/>
    <w:uiPriority w:val="99"/>
    <w:semiHidden/>
    <w:unhideWhenUsed/>
    <w:rsid w:val="00CD3350"/>
    <w:pPr>
      <w:widowControl/>
      <w:spacing w:before="100" w:beforeAutospacing="1" w:after="100" w:afterAutospacing="1" w:line="240" w:lineRule="auto"/>
    </w:pPr>
    <w:rPr>
      <w:rFonts w:ascii="SimSun" w:eastAsia="SimSun" w:hAnsi="SimSun" w:cs="SimSun"/>
      <w:kern w:val="0"/>
      <w:sz w:val="24"/>
      <w14:ligatures w14:val="none"/>
    </w:rPr>
  </w:style>
  <w:style w:type="character" w:styleId="af3">
    <w:name w:val="Hyperlink"/>
    <w:basedOn w:val="a0"/>
    <w:uiPriority w:val="99"/>
    <w:unhideWhenUsed/>
    <w:rsid w:val="002B396F"/>
    <w:rPr>
      <w:color w:val="467886" w:themeColor="hyperlink"/>
      <w:u w:val="single"/>
    </w:rPr>
  </w:style>
  <w:style w:type="character" w:styleId="af4">
    <w:name w:val="Unresolved Mention"/>
    <w:basedOn w:val="a0"/>
    <w:uiPriority w:val="99"/>
    <w:semiHidden/>
    <w:unhideWhenUsed/>
    <w:rsid w:val="002B396F"/>
    <w:rPr>
      <w:color w:val="605E5C"/>
      <w:shd w:val="clear" w:color="auto" w:fill="E1DFDD"/>
    </w:rPr>
  </w:style>
  <w:style w:type="paragraph" w:styleId="af5">
    <w:name w:val="Bibliography"/>
    <w:basedOn w:val="a"/>
    <w:next w:val="a"/>
    <w:uiPriority w:val="37"/>
    <w:unhideWhenUsed/>
    <w:rsid w:val="00B02D7A"/>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787872">
      <w:bodyDiv w:val="1"/>
      <w:marLeft w:val="0"/>
      <w:marRight w:val="0"/>
      <w:marTop w:val="0"/>
      <w:marBottom w:val="0"/>
      <w:divBdr>
        <w:top w:val="none" w:sz="0" w:space="0" w:color="auto"/>
        <w:left w:val="none" w:sz="0" w:space="0" w:color="auto"/>
        <w:bottom w:val="none" w:sz="0" w:space="0" w:color="auto"/>
        <w:right w:val="none" w:sz="0" w:space="0" w:color="auto"/>
      </w:divBdr>
      <w:divsChild>
        <w:div w:id="1525095610">
          <w:marLeft w:val="480"/>
          <w:marRight w:val="0"/>
          <w:marTop w:val="0"/>
          <w:marBottom w:val="0"/>
          <w:divBdr>
            <w:top w:val="none" w:sz="0" w:space="0" w:color="auto"/>
            <w:left w:val="none" w:sz="0" w:space="0" w:color="auto"/>
            <w:bottom w:val="none" w:sz="0" w:space="0" w:color="auto"/>
            <w:right w:val="none" w:sz="0" w:space="0" w:color="auto"/>
          </w:divBdr>
          <w:divsChild>
            <w:div w:id="133583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245915">
      <w:bodyDiv w:val="1"/>
      <w:marLeft w:val="0"/>
      <w:marRight w:val="0"/>
      <w:marTop w:val="0"/>
      <w:marBottom w:val="0"/>
      <w:divBdr>
        <w:top w:val="none" w:sz="0" w:space="0" w:color="auto"/>
        <w:left w:val="none" w:sz="0" w:space="0" w:color="auto"/>
        <w:bottom w:val="none" w:sz="0" w:space="0" w:color="auto"/>
        <w:right w:val="none" w:sz="0" w:space="0" w:color="auto"/>
      </w:divBdr>
    </w:div>
    <w:div w:id="963001409">
      <w:bodyDiv w:val="1"/>
      <w:marLeft w:val="0"/>
      <w:marRight w:val="0"/>
      <w:marTop w:val="0"/>
      <w:marBottom w:val="0"/>
      <w:divBdr>
        <w:top w:val="none" w:sz="0" w:space="0" w:color="auto"/>
        <w:left w:val="none" w:sz="0" w:space="0" w:color="auto"/>
        <w:bottom w:val="none" w:sz="0" w:space="0" w:color="auto"/>
        <w:right w:val="none" w:sz="0" w:space="0" w:color="auto"/>
      </w:divBdr>
    </w:div>
    <w:div w:id="1786653177">
      <w:bodyDiv w:val="1"/>
      <w:marLeft w:val="0"/>
      <w:marRight w:val="0"/>
      <w:marTop w:val="0"/>
      <w:marBottom w:val="0"/>
      <w:divBdr>
        <w:top w:val="none" w:sz="0" w:space="0" w:color="auto"/>
        <w:left w:val="none" w:sz="0" w:space="0" w:color="auto"/>
        <w:bottom w:val="none" w:sz="0" w:space="0" w:color="auto"/>
        <w:right w:val="none" w:sz="0" w:space="0" w:color="auto"/>
      </w:divBdr>
      <w:divsChild>
        <w:div w:id="1274941644">
          <w:marLeft w:val="480"/>
          <w:marRight w:val="0"/>
          <w:marTop w:val="0"/>
          <w:marBottom w:val="0"/>
          <w:divBdr>
            <w:top w:val="none" w:sz="0" w:space="0" w:color="auto"/>
            <w:left w:val="none" w:sz="0" w:space="0" w:color="auto"/>
            <w:bottom w:val="none" w:sz="0" w:space="0" w:color="auto"/>
            <w:right w:val="none" w:sz="0" w:space="0" w:color="auto"/>
          </w:divBdr>
          <w:divsChild>
            <w:div w:id="84747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464107">
      <w:bodyDiv w:val="1"/>
      <w:marLeft w:val="0"/>
      <w:marRight w:val="0"/>
      <w:marTop w:val="0"/>
      <w:marBottom w:val="0"/>
      <w:divBdr>
        <w:top w:val="none" w:sz="0" w:space="0" w:color="auto"/>
        <w:left w:val="none" w:sz="0" w:space="0" w:color="auto"/>
        <w:bottom w:val="none" w:sz="0" w:space="0" w:color="auto"/>
        <w:right w:val="none" w:sz="0" w:space="0" w:color="auto"/>
      </w:divBdr>
      <w:divsChild>
        <w:div w:id="1534264343">
          <w:marLeft w:val="480"/>
          <w:marRight w:val="0"/>
          <w:marTop w:val="0"/>
          <w:marBottom w:val="0"/>
          <w:divBdr>
            <w:top w:val="none" w:sz="0" w:space="0" w:color="auto"/>
            <w:left w:val="none" w:sz="0" w:space="0" w:color="auto"/>
            <w:bottom w:val="none" w:sz="0" w:space="0" w:color="auto"/>
            <w:right w:val="none" w:sz="0" w:space="0" w:color="auto"/>
          </w:divBdr>
          <w:divsChild>
            <w:div w:id="7433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93/bioinformatics/btaa524"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640</TotalTime>
  <Pages>1</Pages>
  <Words>2367</Words>
  <Characters>13492</Characters>
  <Application>Microsoft Office Word</Application>
  <DocSecurity>0</DocSecurity>
  <Lines>112</Lines>
  <Paragraphs>31</Paragraphs>
  <ScaleCrop>false</ScaleCrop>
  <Company/>
  <LinksUpToDate>false</LinksUpToDate>
  <CharactersWithSpaces>15828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牛　文涛</dc:creator>
  <cp:keywords/>
  <dc:description/>
  <cp:lastModifiedBy>牛　文涛</cp:lastModifiedBy>
  <cp:revision>144</cp:revision>
  <dcterms:created xsi:type="dcterms:W3CDTF">2025-03-31T15:22:00Z</dcterms:created>
  <dcterms:modified xsi:type="dcterms:W3CDTF">2025-04-02T08:21:00Z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id="D7E6XSbp"/&gt;&lt;style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ies>
</file>