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EB867" w14:textId="507030AF" w:rsidR="00124B23" w:rsidRPr="00124B23" w:rsidRDefault="00124B23" w:rsidP="002C005D">
      <w:pPr>
        <w:spacing w:after="0" w:line="240" w:lineRule="auto"/>
        <w:ind w:firstLineChars="200" w:firstLine="321"/>
        <w:jc w:val="both"/>
        <w:rPr>
          <w:rFonts w:ascii="宋体" w:eastAsia="宋体" w:hAnsi="宋体"/>
          <w:sz w:val="16"/>
          <w:szCs w:val="16"/>
        </w:rPr>
      </w:pPr>
      <w:r w:rsidRPr="00B511B5">
        <w:rPr>
          <w:rFonts w:ascii="宋体" w:eastAsia="宋体" w:hAnsi="宋体" w:hint="eastAsia"/>
          <w:b/>
          <w:bCs/>
          <w:sz w:val="16"/>
          <w:szCs w:val="16"/>
          <w:highlight w:val="yellow"/>
        </w:rPr>
        <w:t>3.</w:t>
      </w:r>
      <w:r w:rsidRPr="00124B23">
        <w:rPr>
          <w:rFonts w:ascii="宋体" w:eastAsia="宋体" w:hAnsi="宋体"/>
          <w:sz w:val="16"/>
          <w:szCs w:val="16"/>
        </w:rPr>
        <w:t>传统药物研发 周期长，成本高，成功率低。</w:t>
      </w:r>
      <w:r w:rsidRPr="00124B23">
        <w:rPr>
          <w:rFonts w:ascii="宋体" w:eastAsia="宋体" w:hAnsi="宋体" w:hint="eastAsia"/>
          <w:sz w:val="16"/>
          <w:szCs w:val="16"/>
        </w:rPr>
        <w:t>通过利用AI 进行计算分析和预测，湿实验方法能够得到显著改进，从而加快药物研发进程，并避免不必要的开支。</w:t>
      </w:r>
    </w:p>
    <w:p w14:paraId="282AEB94" w14:textId="334AD155" w:rsidR="00F8707B" w:rsidRPr="002C005D" w:rsidRDefault="00F8707B" w:rsidP="002C005D">
      <w:pPr>
        <w:spacing w:after="0" w:line="240" w:lineRule="auto"/>
        <w:ind w:firstLineChars="200" w:firstLine="321"/>
        <w:jc w:val="both"/>
        <w:rPr>
          <w:rFonts w:ascii="宋体" w:eastAsia="宋体" w:hAnsi="宋体"/>
          <w:sz w:val="16"/>
          <w:szCs w:val="16"/>
        </w:rPr>
      </w:pPr>
      <w:r w:rsidRPr="00B511B5">
        <w:rPr>
          <w:rFonts w:ascii="宋体" w:eastAsia="宋体" w:hAnsi="宋体" w:hint="eastAsia"/>
          <w:b/>
          <w:bCs/>
          <w:sz w:val="16"/>
          <w:szCs w:val="16"/>
          <w:highlight w:val="yellow"/>
        </w:rPr>
        <w:t>4.</w:t>
      </w:r>
      <w:r w:rsidRPr="002C005D">
        <w:rPr>
          <w:rFonts w:ascii="宋体" w:eastAsia="宋体" w:hAnsi="宋体" w:cs="宋体"/>
          <w:color w:val="000000"/>
          <w:kern w:val="24"/>
          <w:sz w:val="16"/>
          <w:szCs w:val="16"/>
          <w:eastAsianLayout w:id="-738683648"/>
          <w14:ligatures w14:val="none"/>
        </w:rPr>
        <w:t xml:space="preserve"> </w:t>
      </w:r>
      <w:r w:rsidRPr="002C005D">
        <w:rPr>
          <w:rFonts w:ascii="宋体" w:eastAsia="宋体" w:hAnsi="宋体"/>
          <w:sz w:val="16"/>
          <w:szCs w:val="16"/>
        </w:rPr>
        <w:t>深度学习模型能够自动提取复杂数据特征，处理大规模数据集。同时，对结构信息的分析有助于提高预测的精确度。</w:t>
      </w:r>
      <w:r w:rsidRPr="002C005D">
        <w:rPr>
          <w:rFonts w:ascii="宋体" w:eastAsia="宋体" w:hAnsi="宋体" w:hint="eastAsia"/>
          <w:sz w:val="16"/>
          <w:szCs w:val="16"/>
        </w:rPr>
        <w:br/>
        <w:t>深度学习预测的蛋白质结构（如 AlphaFold 预测的蛋白结构）极大扩展了结构数据库，</w:t>
      </w:r>
      <w:r w:rsidRPr="002C005D">
        <w:rPr>
          <w:rFonts w:ascii="宋体" w:eastAsia="宋体" w:hAnsi="宋体" w:hint="eastAsia"/>
          <w:sz w:val="16"/>
          <w:szCs w:val="16"/>
        </w:rPr>
        <w:br/>
        <w:t>使得对超大型库进行加速虚拟筛选成为必要，这推动了使用深度学习进行药物-靶标相互作用预测的发展</w:t>
      </w:r>
    </w:p>
    <w:p w14:paraId="67AB4C1C" w14:textId="6D1BD22D" w:rsidR="00C4073C" w:rsidRPr="002C005D" w:rsidRDefault="00C4073C" w:rsidP="002C005D">
      <w:pPr>
        <w:spacing w:after="0" w:line="240" w:lineRule="auto"/>
        <w:ind w:firstLineChars="200" w:firstLine="321"/>
        <w:jc w:val="both"/>
        <w:rPr>
          <w:rFonts w:ascii="宋体" w:eastAsia="宋体" w:hAnsi="宋体"/>
          <w:sz w:val="16"/>
          <w:szCs w:val="16"/>
        </w:rPr>
      </w:pPr>
      <w:r w:rsidRPr="00B511B5">
        <w:rPr>
          <w:rFonts w:ascii="宋体" w:eastAsia="宋体" w:hAnsi="宋体" w:hint="eastAsia"/>
          <w:b/>
          <w:bCs/>
          <w:sz w:val="16"/>
          <w:szCs w:val="16"/>
          <w:highlight w:val="yellow"/>
        </w:rPr>
        <w:t>5.</w:t>
      </w:r>
      <w:r w:rsidRPr="002C005D">
        <w:rPr>
          <w:rFonts w:ascii="宋体" w:eastAsia="宋体" w:hAnsi="宋体" w:cs="Source Han Sans"/>
          <w:color w:val="262626"/>
          <w:kern w:val="24"/>
          <w:sz w:val="16"/>
          <w:szCs w:val="16"/>
          <w:eastAsianLayout w:id="-738683646"/>
          <w14:ligatures w14:val="none"/>
        </w:rPr>
        <w:t xml:space="preserve"> </w:t>
      </w:r>
      <w:r w:rsidRPr="002C005D">
        <w:rPr>
          <w:rFonts w:ascii="宋体" w:eastAsia="宋体" w:hAnsi="宋体"/>
          <w:sz w:val="16"/>
          <w:szCs w:val="16"/>
        </w:rPr>
        <w:t>1样本存在假阴性污染，影响模型训练准确性</w:t>
      </w:r>
      <w:r w:rsidRPr="002C005D">
        <w:rPr>
          <w:rFonts w:ascii="宋体" w:eastAsia="宋体" w:hAnsi="宋体"/>
          <w:sz w:val="16"/>
          <w:szCs w:val="16"/>
        </w:rPr>
        <w:br/>
      </w:r>
      <w:r w:rsidRPr="002C005D">
        <w:rPr>
          <w:rFonts w:ascii="宋体" w:eastAsia="宋体" w:hAnsi="宋体" w:hint="eastAsia"/>
          <w:sz w:val="16"/>
          <w:szCs w:val="16"/>
        </w:rPr>
        <w:t>尽管当前可用的数据</w:t>
      </w:r>
      <w:proofErr w:type="gramStart"/>
      <w:r w:rsidRPr="002C005D">
        <w:rPr>
          <w:rFonts w:ascii="宋体" w:eastAsia="宋体" w:hAnsi="宋体" w:hint="eastAsia"/>
          <w:sz w:val="16"/>
          <w:szCs w:val="16"/>
        </w:rPr>
        <w:t>集类型</w:t>
      </w:r>
      <w:proofErr w:type="gramEnd"/>
      <w:r w:rsidRPr="002C005D">
        <w:rPr>
          <w:rFonts w:ascii="宋体" w:eastAsia="宋体" w:hAnsi="宋体" w:hint="eastAsia"/>
          <w:sz w:val="16"/>
          <w:szCs w:val="16"/>
        </w:rPr>
        <w:t>丰富、来源广泛且模态多样，</w:t>
      </w:r>
    </w:p>
    <w:p w14:paraId="3193BC18" w14:textId="77777777" w:rsidR="00C4073C" w:rsidRPr="00C4073C" w:rsidRDefault="00C4073C" w:rsidP="002C005D">
      <w:pPr>
        <w:spacing w:after="0" w:line="240" w:lineRule="auto"/>
        <w:ind w:firstLineChars="200" w:firstLine="320"/>
        <w:jc w:val="both"/>
        <w:rPr>
          <w:rFonts w:ascii="宋体" w:eastAsia="宋体" w:hAnsi="宋体"/>
          <w:sz w:val="16"/>
          <w:szCs w:val="16"/>
        </w:rPr>
      </w:pPr>
      <w:r w:rsidRPr="00C4073C">
        <w:rPr>
          <w:rFonts w:ascii="宋体" w:eastAsia="宋体" w:hAnsi="宋体" w:hint="eastAsia"/>
          <w:sz w:val="16"/>
          <w:szCs w:val="16"/>
        </w:rPr>
        <w:t>但在实际模型训练过程中也存在一些问题。如负样本的定义并不统一。</w:t>
      </w:r>
    </w:p>
    <w:p w14:paraId="0BA3AA1B" w14:textId="77777777" w:rsidR="00C4073C" w:rsidRPr="00C4073C" w:rsidRDefault="00C4073C" w:rsidP="002C005D">
      <w:pPr>
        <w:spacing w:after="0" w:line="240" w:lineRule="auto"/>
        <w:ind w:firstLineChars="200" w:firstLine="320"/>
        <w:jc w:val="both"/>
        <w:rPr>
          <w:rFonts w:ascii="宋体" w:eastAsia="宋体" w:hAnsi="宋体"/>
          <w:sz w:val="16"/>
          <w:szCs w:val="16"/>
        </w:rPr>
      </w:pPr>
      <w:r w:rsidRPr="00C4073C">
        <w:rPr>
          <w:rFonts w:ascii="宋体" w:eastAsia="宋体" w:hAnsi="宋体" w:hint="eastAsia"/>
          <w:sz w:val="16"/>
          <w:szCs w:val="16"/>
        </w:rPr>
        <w:t>当前一些方法将未知的药物-靶点相互作用直接训练为负样本，然而实际上，</w:t>
      </w:r>
    </w:p>
    <w:p w14:paraId="20C188EE" w14:textId="77777777" w:rsidR="00C4073C" w:rsidRPr="00C4073C" w:rsidRDefault="00C4073C" w:rsidP="002C005D">
      <w:pPr>
        <w:spacing w:after="0" w:line="240" w:lineRule="auto"/>
        <w:ind w:firstLineChars="200" w:firstLine="320"/>
        <w:jc w:val="both"/>
        <w:rPr>
          <w:rFonts w:ascii="宋体" w:eastAsia="宋体" w:hAnsi="宋体"/>
          <w:sz w:val="16"/>
          <w:szCs w:val="16"/>
        </w:rPr>
      </w:pPr>
      <w:r w:rsidRPr="00C4073C">
        <w:rPr>
          <w:rFonts w:ascii="宋体" w:eastAsia="宋体" w:hAnsi="宋体" w:hint="eastAsia"/>
          <w:sz w:val="16"/>
          <w:szCs w:val="16"/>
        </w:rPr>
        <w:t>湿实验未排除的药物-靶点关系很可能仅仅由于存在隐藏的相互作用而未被检测到。</w:t>
      </w:r>
    </w:p>
    <w:p w14:paraId="3BAED200" w14:textId="77777777" w:rsidR="00C4073C" w:rsidRPr="00C4073C" w:rsidRDefault="00C4073C" w:rsidP="002C005D">
      <w:pPr>
        <w:spacing w:after="0" w:line="240" w:lineRule="auto"/>
        <w:ind w:firstLineChars="200" w:firstLine="320"/>
        <w:jc w:val="both"/>
        <w:rPr>
          <w:rFonts w:ascii="宋体" w:eastAsia="宋体" w:hAnsi="宋体"/>
          <w:sz w:val="16"/>
          <w:szCs w:val="16"/>
        </w:rPr>
      </w:pPr>
      <w:r w:rsidRPr="00C4073C">
        <w:rPr>
          <w:rFonts w:ascii="宋体" w:eastAsia="宋体" w:hAnsi="宋体" w:hint="eastAsia"/>
          <w:sz w:val="16"/>
          <w:szCs w:val="16"/>
        </w:rPr>
        <w:t>多研究往往将未经验证的任意药物-靶点对当作负样本，这可能把尚未被发现的真实相互作用错标为负样本。</w:t>
      </w:r>
    </w:p>
    <w:p w14:paraId="3CBB250A" w14:textId="77777777" w:rsidR="00C4073C" w:rsidRPr="00C4073C" w:rsidRDefault="00C4073C" w:rsidP="002C005D">
      <w:pPr>
        <w:spacing w:after="0" w:line="240" w:lineRule="auto"/>
        <w:ind w:firstLineChars="200" w:firstLine="320"/>
        <w:jc w:val="both"/>
        <w:rPr>
          <w:rFonts w:ascii="宋体" w:eastAsia="宋体" w:hAnsi="宋体"/>
          <w:sz w:val="16"/>
          <w:szCs w:val="16"/>
        </w:rPr>
      </w:pPr>
      <w:r w:rsidRPr="00C4073C">
        <w:rPr>
          <w:rFonts w:ascii="宋体" w:eastAsia="宋体" w:hAnsi="宋体" w:hint="eastAsia"/>
          <w:sz w:val="16"/>
          <w:szCs w:val="16"/>
        </w:rPr>
        <w:t>结果是训练数据中混入错误标签，模型学习受到干扰。</w:t>
      </w:r>
      <w:r w:rsidRPr="00C4073C">
        <w:rPr>
          <w:rFonts w:ascii="宋体" w:eastAsia="宋体" w:hAnsi="宋体"/>
          <w:sz w:val="16"/>
          <w:szCs w:val="16"/>
        </w:rPr>
        <w:br/>
        <w:t>2整合</w:t>
      </w:r>
      <w:r w:rsidRPr="00C4073C">
        <w:rPr>
          <w:rFonts w:ascii="宋体" w:eastAsia="宋体" w:hAnsi="宋体" w:hint="eastAsia"/>
          <w:sz w:val="16"/>
          <w:szCs w:val="16"/>
        </w:rPr>
        <w:t>多模态数据有助于加深对DTI的理解，</w:t>
      </w:r>
    </w:p>
    <w:p w14:paraId="7288BEB5" w14:textId="77777777" w:rsidR="00C4073C" w:rsidRPr="00C4073C" w:rsidRDefault="00C4073C" w:rsidP="002C005D">
      <w:pPr>
        <w:spacing w:after="0" w:line="240" w:lineRule="auto"/>
        <w:ind w:firstLineChars="200" w:firstLine="320"/>
        <w:jc w:val="both"/>
        <w:rPr>
          <w:rFonts w:ascii="宋体" w:eastAsia="宋体" w:hAnsi="宋体"/>
          <w:sz w:val="16"/>
          <w:szCs w:val="16"/>
        </w:rPr>
      </w:pPr>
      <w:r w:rsidRPr="00C4073C">
        <w:rPr>
          <w:rFonts w:ascii="宋体" w:eastAsia="宋体" w:hAnsi="宋体" w:hint="eastAsia"/>
          <w:sz w:val="16"/>
          <w:szCs w:val="16"/>
        </w:rPr>
        <w:t>但</w:t>
      </w:r>
      <w:r w:rsidRPr="00C4073C">
        <w:rPr>
          <w:rFonts w:ascii="宋体" w:eastAsia="宋体" w:hAnsi="宋体"/>
          <w:sz w:val="16"/>
          <w:szCs w:val="16"/>
        </w:rPr>
        <w:t>不同模态数据的特征提取和表示方法存在差异，难以统一建模。</w:t>
      </w:r>
    </w:p>
    <w:p w14:paraId="030909F0" w14:textId="77777777" w:rsidR="00C4073C" w:rsidRPr="00C4073C" w:rsidRDefault="00C4073C" w:rsidP="002C005D">
      <w:pPr>
        <w:spacing w:after="0" w:line="240" w:lineRule="auto"/>
        <w:ind w:firstLineChars="200" w:firstLine="320"/>
        <w:jc w:val="both"/>
        <w:rPr>
          <w:rFonts w:ascii="宋体" w:eastAsia="宋体" w:hAnsi="宋体"/>
          <w:sz w:val="16"/>
          <w:szCs w:val="16"/>
        </w:rPr>
      </w:pPr>
      <w:r w:rsidRPr="00C4073C">
        <w:rPr>
          <w:rFonts w:ascii="宋体" w:eastAsia="宋体" w:hAnsi="宋体" w:hint="eastAsia"/>
          <w:sz w:val="16"/>
          <w:szCs w:val="16"/>
        </w:rPr>
        <w:t>整合多模态数据（如药物的化学结构、蛋白质的序列信息、生物功能注释等）有助于从多个角度理解药物-靶点相互作用（DTI），</w:t>
      </w:r>
    </w:p>
    <w:p w14:paraId="0CCEEA1F" w14:textId="77777777" w:rsidR="00C4073C" w:rsidRPr="00C4073C" w:rsidRDefault="00C4073C" w:rsidP="002C005D">
      <w:pPr>
        <w:spacing w:after="0" w:line="240" w:lineRule="auto"/>
        <w:ind w:firstLineChars="200" w:firstLine="320"/>
        <w:jc w:val="both"/>
        <w:rPr>
          <w:rFonts w:ascii="宋体" w:eastAsia="宋体" w:hAnsi="宋体"/>
          <w:sz w:val="16"/>
          <w:szCs w:val="16"/>
        </w:rPr>
      </w:pPr>
      <w:r w:rsidRPr="00C4073C">
        <w:rPr>
          <w:rFonts w:ascii="宋体" w:eastAsia="宋体" w:hAnsi="宋体" w:hint="eastAsia"/>
          <w:sz w:val="16"/>
          <w:szCs w:val="16"/>
        </w:rPr>
        <w:t>提升预测模型的准确性和鲁棒性。然而，不同模态数据之间在数据形式、维度空间、语义表达等方面存在显著差异。</w:t>
      </w:r>
    </w:p>
    <w:p w14:paraId="78F86800" w14:textId="77777777" w:rsidR="00C4073C" w:rsidRPr="00C4073C" w:rsidRDefault="00C4073C" w:rsidP="002C005D">
      <w:pPr>
        <w:spacing w:after="0" w:line="240" w:lineRule="auto"/>
        <w:ind w:firstLineChars="200" w:firstLine="320"/>
        <w:jc w:val="both"/>
        <w:rPr>
          <w:rFonts w:ascii="宋体" w:eastAsia="宋体" w:hAnsi="宋体"/>
          <w:sz w:val="16"/>
          <w:szCs w:val="16"/>
        </w:rPr>
      </w:pPr>
      <w:r w:rsidRPr="00C4073C">
        <w:rPr>
          <w:rFonts w:ascii="宋体" w:eastAsia="宋体" w:hAnsi="宋体" w:hint="eastAsia"/>
          <w:sz w:val="16"/>
          <w:szCs w:val="16"/>
        </w:rPr>
        <w:t>例如，药物常以分子图或指纹形式表示，而蛋白质则多以氨基酸序列或GO注释表示。</w:t>
      </w:r>
    </w:p>
    <w:p w14:paraId="6CBAB66F" w14:textId="77777777" w:rsidR="00C4073C" w:rsidRPr="00C4073C" w:rsidRDefault="00C4073C" w:rsidP="002C005D">
      <w:pPr>
        <w:spacing w:after="0" w:line="240" w:lineRule="auto"/>
        <w:ind w:firstLineChars="200" w:firstLine="320"/>
        <w:jc w:val="both"/>
        <w:rPr>
          <w:rFonts w:ascii="宋体" w:eastAsia="宋体" w:hAnsi="宋体"/>
          <w:sz w:val="16"/>
          <w:szCs w:val="16"/>
        </w:rPr>
      </w:pPr>
      <w:r w:rsidRPr="00C4073C">
        <w:rPr>
          <w:rFonts w:ascii="宋体" w:eastAsia="宋体" w:hAnsi="宋体" w:hint="eastAsia"/>
          <w:sz w:val="16"/>
          <w:szCs w:val="16"/>
        </w:rPr>
        <w:t>这种异构性导致特征提取方法和表示策略难以统一，增加了建模的复杂度。</w:t>
      </w:r>
    </w:p>
    <w:p w14:paraId="51F5A75A" w14:textId="77777777" w:rsidR="00C4073C" w:rsidRPr="00C4073C" w:rsidRDefault="00C4073C" w:rsidP="002C005D">
      <w:pPr>
        <w:spacing w:after="0" w:line="240" w:lineRule="auto"/>
        <w:ind w:firstLineChars="200" w:firstLine="320"/>
        <w:jc w:val="both"/>
        <w:rPr>
          <w:rFonts w:ascii="宋体" w:eastAsia="宋体" w:hAnsi="宋体"/>
          <w:sz w:val="16"/>
          <w:szCs w:val="16"/>
        </w:rPr>
      </w:pPr>
      <w:r w:rsidRPr="00C4073C">
        <w:rPr>
          <w:rFonts w:ascii="宋体" w:eastAsia="宋体" w:hAnsi="宋体" w:hint="eastAsia"/>
          <w:sz w:val="16"/>
          <w:szCs w:val="16"/>
        </w:rPr>
        <w:t>如何设计有效的融合机制，使不同模态信息在保持自身特征的同时实现协同表达，是当前多模态DTI研究的关键挑战之一。</w:t>
      </w:r>
    </w:p>
    <w:p w14:paraId="5821F83E" w14:textId="77777777" w:rsidR="00C4073C" w:rsidRPr="00C4073C" w:rsidRDefault="00C4073C" w:rsidP="002C005D">
      <w:pPr>
        <w:spacing w:after="0" w:line="240" w:lineRule="auto"/>
        <w:ind w:firstLineChars="200" w:firstLine="320"/>
        <w:jc w:val="both"/>
        <w:rPr>
          <w:rFonts w:ascii="宋体" w:eastAsia="宋体" w:hAnsi="宋体"/>
          <w:sz w:val="16"/>
          <w:szCs w:val="16"/>
        </w:rPr>
      </w:pPr>
      <w:r w:rsidRPr="00C4073C">
        <w:rPr>
          <w:rFonts w:ascii="宋体" w:eastAsia="宋体" w:hAnsi="宋体"/>
          <w:sz w:val="16"/>
          <w:szCs w:val="16"/>
        </w:rPr>
        <w:t>3可解释性不足限制了模型在生物实验指导中的价值</w:t>
      </w:r>
      <w:r w:rsidRPr="00C4073C">
        <w:rPr>
          <w:rFonts w:ascii="宋体" w:eastAsia="宋体" w:hAnsi="宋体"/>
          <w:sz w:val="16"/>
          <w:szCs w:val="16"/>
        </w:rPr>
        <w:br/>
      </w:r>
      <w:r w:rsidRPr="00C4073C">
        <w:rPr>
          <w:rFonts w:ascii="宋体" w:eastAsia="宋体" w:hAnsi="宋体" w:hint="eastAsia"/>
          <w:sz w:val="16"/>
          <w:szCs w:val="16"/>
        </w:rPr>
        <w:t>药物-靶标相互作用（DTI）预测模型在加速新药发现和靶点识别方面具有重要作用，</w:t>
      </w:r>
    </w:p>
    <w:p w14:paraId="2A3D467B" w14:textId="77777777" w:rsidR="00C4073C" w:rsidRPr="00C4073C" w:rsidRDefault="00C4073C" w:rsidP="002C005D">
      <w:pPr>
        <w:spacing w:after="0" w:line="240" w:lineRule="auto"/>
        <w:ind w:firstLineChars="200" w:firstLine="320"/>
        <w:jc w:val="both"/>
        <w:rPr>
          <w:rFonts w:ascii="宋体" w:eastAsia="宋体" w:hAnsi="宋体"/>
          <w:sz w:val="16"/>
          <w:szCs w:val="16"/>
        </w:rPr>
      </w:pPr>
      <w:r w:rsidRPr="00C4073C">
        <w:rPr>
          <w:rFonts w:ascii="宋体" w:eastAsia="宋体" w:hAnsi="宋体" w:hint="eastAsia"/>
          <w:sz w:val="16"/>
          <w:szCs w:val="16"/>
        </w:rPr>
        <w:t>但其可解释性不足成为制约其在实际生物实验中应用的重要瓶颈。</w:t>
      </w:r>
    </w:p>
    <w:p w14:paraId="0BC59C00" w14:textId="77777777" w:rsidR="00C4073C" w:rsidRPr="00C4073C" w:rsidRDefault="00C4073C" w:rsidP="002C005D">
      <w:pPr>
        <w:spacing w:after="0" w:line="240" w:lineRule="auto"/>
        <w:ind w:firstLineChars="200" w:firstLine="320"/>
        <w:jc w:val="both"/>
        <w:rPr>
          <w:rFonts w:ascii="宋体" w:eastAsia="宋体" w:hAnsi="宋体"/>
          <w:sz w:val="16"/>
          <w:szCs w:val="16"/>
        </w:rPr>
      </w:pPr>
      <w:r w:rsidRPr="00C4073C">
        <w:rPr>
          <w:rFonts w:ascii="宋体" w:eastAsia="宋体" w:hAnsi="宋体" w:hint="eastAsia"/>
          <w:sz w:val="16"/>
          <w:szCs w:val="16"/>
        </w:rPr>
        <w:t>许多高性能模型（如深度神经网络）在预测准确率上表现优异，却难以揭示药物与靶标相互作用背后的机制，</w:t>
      </w:r>
    </w:p>
    <w:p w14:paraId="36FE7222" w14:textId="77777777" w:rsidR="00C4073C" w:rsidRPr="00C4073C" w:rsidRDefault="00C4073C" w:rsidP="002C005D">
      <w:pPr>
        <w:spacing w:after="0" w:line="240" w:lineRule="auto"/>
        <w:ind w:firstLineChars="200" w:firstLine="320"/>
        <w:jc w:val="both"/>
        <w:rPr>
          <w:rFonts w:ascii="宋体" w:eastAsia="宋体" w:hAnsi="宋体"/>
          <w:sz w:val="16"/>
          <w:szCs w:val="16"/>
        </w:rPr>
      </w:pPr>
      <w:r w:rsidRPr="00C4073C">
        <w:rPr>
          <w:rFonts w:ascii="宋体" w:eastAsia="宋体" w:hAnsi="宋体" w:hint="eastAsia"/>
          <w:sz w:val="16"/>
          <w:szCs w:val="16"/>
        </w:rPr>
        <w:t>使得实验研究者难以根据模型结果设计合理的验证方案或探索新的生物通路。缺乏可解释性不仅降低了模型在科研和临床中的可信度，</w:t>
      </w:r>
    </w:p>
    <w:p w14:paraId="5A6D5CCA" w14:textId="77777777" w:rsidR="00C4073C" w:rsidRPr="00C4073C" w:rsidRDefault="00C4073C" w:rsidP="002C005D">
      <w:pPr>
        <w:spacing w:after="0" w:line="240" w:lineRule="auto"/>
        <w:ind w:firstLineChars="200" w:firstLine="320"/>
        <w:jc w:val="both"/>
        <w:rPr>
          <w:rFonts w:ascii="宋体" w:eastAsia="宋体" w:hAnsi="宋体"/>
          <w:sz w:val="16"/>
          <w:szCs w:val="16"/>
        </w:rPr>
      </w:pPr>
      <w:r w:rsidRPr="00C4073C">
        <w:rPr>
          <w:rFonts w:ascii="宋体" w:eastAsia="宋体" w:hAnsi="宋体" w:hint="eastAsia"/>
          <w:sz w:val="16"/>
          <w:szCs w:val="16"/>
        </w:rPr>
        <w:t>也限制了其在药物重定位、靶点验证等关键环节的应用。</w:t>
      </w:r>
      <w:r w:rsidRPr="00C4073C">
        <w:rPr>
          <w:rFonts w:ascii="宋体" w:eastAsia="宋体" w:hAnsi="宋体" w:hint="eastAsia"/>
          <w:sz w:val="16"/>
          <w:szCs w:val="16"/>
        </w:rPr>
        <w:br/>
        <w:t>提升DTI模型的可解释性，例如通过注意力机制、特征可视化或引入生物先验知识，</w:t>
      </w:r>
    </w:p>
    <w:p w14:paraId="308D9470" w14:textId="77777777" w:rsidR="00C4073C" w:rsidRPr="00C4073C" w:rsidRDefault="00C4073C" w:rsidP="002C005D">
      <w:pPr>
        <w:spacing w:after="0" w:line="240" w:lineRule="auto"/>
        <w:ind w:firstLineChars="200" w:firstLine="320"/>
        <w:jc w:val="both"/>
        <w:rPr>
          <w:rFonts w:ascii="宋体" w:eastAsia="宋体" w:hAnsi="宋体"/>
          <w:sz w:val="16"/>
          <w:szCs w:val="16"/>
        </w:rPr>
      </w:pPr>
      <w:r w:rsidRPr="00C4073C">
        <w:rPr>
          <w:rFonts w:ascii="宋体" w:eastAsia="宋体" w:hAnsi="宋体" w:hint="eastAsia"/>
          <w:sz w:val="16"/>
          <w:szCs w:val="16"/>
        </w:rPr>
        <w:t>不仅有助于增强模型的透明性和</w:t>
      </w:r>
      <w:proofErr w:type="gramStart"/>
      <w:r w:rsidRPr="00C4073C">
        <w:rPr>
          <w:rFonts w:ascii="宋体" w:eastAsia="宋体" w:hAnsi="宋体" w:hint="eastAsia"/>
          <w:sz w:val="16"/>
          <w:szCs w:val="16"/>
        </w:rPr>
        <w:t>可</w:t>
      </w:r>
      <w:proofErr w:type="gramEnd"/>
      <w:r w:rsidRPr="00C4073C">
        <w:rPr>
          <w:rFonts w:ascii="宋体" w:eastAsia="宋体" w:hAnsi="宋体" w:hint="eastAsia"/>
          <w:sz w:val="16"/>
          <w:szCs w:val="16"/>
        </w:rPr>
        <w:t>验证性，也将显著提高其在生命科学研究和药物开发中的实际价值。</w:t>
      </w:r>
    </w:p>
    <w:p w14:paraId="5CC7F8F0" w14:textId="3DC424E6" w:rsidR="00A00379" w:rsidRPr="002C005D" w:rsidRDefault="00A00379" w:rsidP="002C005D">
      <w:pPr>
        <w:spacing w:after="0" w:line="240" w:lineRule="auto"/>
        <w:ind w:firstLineChars="200" w:firstLine="321"/>
        <w:jc w:val="both"/>
        <w:rPr>
          <w:rFonts w:ascii="宋体" w:eastAsia="宋体" w:hAnsi="宋体"/>
          <w:sz w:val="16"/>
          <w:szCs w:val="16"/>
        </w:rPr>
      </w:pPr>
      <w:r w:rsidRPr="00B511B5">
        <w:rPr>
          <w:rFonts w:ascii="宋体" w:eastAsia="宋体" w:hAnsi="宋体" w:hint="eastAsia"/>
          <w:b/>
          <w:bCs/>
          <w:sz w:val="16"/>
          <w:szCs w:val="16"/>
          <w:highlight w:val="yellow"/>
        </w:rPr>
        <w:t>6.</w:t>
      </w:r>
      <w:r w:rsidRPr="002C005D">
        <w:rPr>
          <w:rFonts w:ascii="宋体" w:eastAsia="宋体" w:hAnsi="宋体" w:hint="eastAsia"/>
          <w:color w:val="000000"/>
          <w:kern w:val="24"/>
          <w:sz w:val="16"/>
          <w:szCs w:val="16"/>
          <w14:ligatures w14:val="none"/>
        </w:rPr>
        <w:t xml:space="preserve"> </w:t>
      </w:r>
      <w:r w:rsidRPr="002C005D">
        <w:rPr>
          <w:rFonts w:ascii="宋体" w:eastAsia="宋体" w:hAnsi="宋体" w:hint="eastAsia"/>
          <w:sz w:val="16"/>
          <w:szCs w:val="16"/>
        </w:rPr>
        <w:t>国内研究在特征学习、网络结构优化以及模型泛化能力提升方面取得了一定突破，</w:t>
      </w:r>
      <w:r w:rsidRPr="002C005D">
        <w:rPr>
          <w:rFonts w:ascii="宋体" w:eastAsia="宋体" w:hAnsi="宋体" w:hint="eastAsia"/>
          <w:sz w:val="16"/>
          <w:szCs w:val="16"/>
        </w:rPr>
        <w:br/>
        <w:t>但</w:t>
      </w:r>
      <w:r w:rsidRPr="002C005D">
        <w:rPr>
          <w:rFonts w:ascii="宋体" w:eastAsia="宋体" w:hAnsi="宋体"/>
          <w:sz w:val="16"/>
          <w:szCs w:val="16"/>
        </w:rPr>
        <w:t>在多模态数据融合、模型可解释性等方面还需加强研究</w:t>
      </w:r>
      <w:r w:rsidRPr="002C005D">
        <w:rPr>
          <w:rFonts w:ascii="宋体" w:eastAsia="宋体" w:hAnsi="宋体" w:hint="eastAsia"/>
          <w:sz w:val="16"/>
          <w:szCs w:val="16"/>
        </w:rPr>
        <w:tab/>
      </w:r>
    </w:p>
    <w:p w14:paraId="6976D73D" w14:textId="2CB35C0D" w:rsidR="00A00379" w:rsidRPr="002C005D" w:rsidRDefault="00A00379" w:rsidP="002C005D">
      <w:pPr>
        <w:spacing w:after="0" w:line="240" w:lineRule="auto"/>
        <w:ind w:firstLineChars="200" w:firstLine="321"/>
        <w:jc w:val="both"/>
        <w:rPr>
          <w:rFonts w:ascii="宋体" w:eastAsia="宋体" w:hAnsi="宋体"/>
          <w:sz w:val="16"/>
          <w:szCs w:val="16"/>
        </w:rPr>
      </w:pPr>
      <w:r w:rsidRPr="00B511B5">
        <w:rPr>
          <w:rFonts w:ascii="宋体" w:eastAsia="宋体" w:hAnsi="宋体" w:hint="eastAsia"/>
          <w:b/>
          <w:bCs/>
          <w:sz w:val="16"/>
          <w:szCs w:val="16"/>
          <w:highlight w:val="yellow"/>
        </w:rPr>
        <w:t xml:space="preserve">7. </w:t>
      </w:r>
      <w:r w:rsidRPr="002C005D">
        <w:rPr>
          <w:rFonts w:ascii="宋体" w:eastAsia="宋体" w:hAnsi="宋体" w:hint="eastAsia"/>
          <w:sz w:val="16"/>
          <w:szCs w:val="16"/>
        </w:rPr>
        <w:t>国外研究在深度学习模型的架构设计、数据增强及</w:t>
      </w:r>
      <w:proofErr w:type="gramStart"/>
      <w:r w:rsidRPr="002C005D">
        <w:rPr>
          <w:rFonts w:ascii="宋体" w:eastAsia="宋体" w:hAnsi="宋体" w:hint="eastAsia"/>
          <w:sz w:val="16"/>
          <w:szCs w:val="16"/>
        </w:rPr>
        <w:t>预训练</w:t>
      </w:r>
      <w:proofErr w:type="gramEnd"/>
      <w:r w:rsidRPr="002C005D">
        <w:rPr>
          <w:rFonts w:ascii="宋体" w:eastAsia="宋体" w:hAnsi="宋体" w:hint="eastAsia"/>
          <w:sz w:val="16"/>
          <w:szCs w:val="16"/>
        </w:rPr>
        <w:t>方法等方面取得了突破性进展，</w:t>
      </w:r>
      <w:r w:rsidRPr="002C005D">
        <w:rPr>
          <w:rFonts w:ascii="宋体" w:eastAsia="宋体" w:hAnsi="宋体" w:hint="eastAsia"/>
          <w:sz w:val="16"/>
          <w:szCs w:val="16"/>
        </w:rPr>
        <w:tab/>
      </w:r>
      <w:r w:rsidRPr="002C005D">
        <w:rPr>
          <w:rFonts w:ascii="宋体" w:eastAsia="宋体" w:hAnsi="宋体" w:hint="eastAsia"/>
          <w:sz w:val="16"/>
          <w:szCs w:val="16"/>
        </w:rPr>
        <w:br/>
      </w:r>
      <w:r w:rsidRPr="002C005D">
        <w:rPr>
          <w:rFonts w:ascii="宋体" w:eastAsia="宋体" w:hAnsi="宋体"/>
          <w:sz w:val="16"/>
          <w:szCs w:val="16"/>
        </w:rPr>
        <w:t>但在解决负样本噪声、多模态数据异构性等问题上仍面临挑战</w:t>
      </w:r>
    </w:p>
    <w:p w14:paraId="5DA1276C" w14:textId="2041C3A8" w:rsidR="00A00379" w:rsidRPr="002C005D" w:rsidRDefault="00A00379" w:rsidP="002C005D">
      <w:pPr>
        <w:spacing w:after="0" w:line="240" w:lineRule="auto"/>
        <w:ind w:firstLineChars="200" w:firstLine="321"/>
        <w:jc w:val="both"/>
        <w:rPr>
          <w:rFonts w:ascii="宋体" w:eastAsia="宋体" w:hAnsi="宋体"/>
          <w:sz w:val="16"/>
          <w:szCs w:val="16"/>
        </w:rPr>
      </w:pPr>
      <w:r w:rsidRPr="00B511B5">
        <w:rPr>
          <w:rFonts w:ascii="宋体" w:eastAsia="宋体" w:hAnsi="宋体" w:hint="eastAsia"/>
          <w:b/>
          <w:bCs/>
          <w:sz w:val="16"/>
          <w:szCs w:val="16"/>
          <w:highlight w:val="yellow"/>
        </w:rPr>
        <w:t xml:space="preserve">8. </w:t>
      </w:r>
      <w:r w:rsidRPr="002C005D">
        <w:rPr>
          <w:rFonts w:ascii="宋体" w:eastAsia="宋体" w:hAnsi="宋体" w:hint="eastAsia"/>
          <w:sz w:val="16"/>
          <w:szCs w:val="16"/>
        </w:rPr>
        <w:t>“未知”药-</w:t>
      </w:r>
      <w:proofErr w:type="gramStart"/>
      <w:r w:rsidRPr="002C005D">
        <w:rPr>
          <w:rFonts w:ascii="宋体" w:eastAsia="宋体" w:hAnsi="宋体" w:hint="eastAsia"/>
          <w:sz w:val="16"/>
          <w:szCs w:val="16"/>
        </w:rPr>
        <w:t>靶对中</w:t>
      </w:r>
      <w:proofErr w:type="gramEnd"/>
      <w:r w:rsidRPr="002C005D">
        <w:rPr>
          <w:rFonts w:ascii="宋体" w:eastAsia="宋体" w:hAnsi="宋体" w:hint="eastAsia"/>
          <w:sz w:val="16"/>
          <w:szCs w:val="16"/>
        </w:rPr>
        <w:t>很可能包含尚未被实验验证的真实相互作用，即</w:t>
      </w:r>
      <w:r w:rsidRPr="002C005D">
        <w:rPr>
          <w:rFonts w:ascii="宋体" w:eastAsia="宋体" w:hAnsi="宋体" w:hint="eastAsia"/>
          <w:b/>
          <w:bCs/>
          <w:sz w:val="16"/>
          <w:szCs w:val="16"/>
        </w:rPr>
        <w:t>假阴性数据</w:t>
      </w:r>
      <w:r w:rsidRPr="002C005D">
        <w:rPr>
          <w:rFonts w:ascii="宋体" w:eastAsia="宋体" w:hAnsi="宋体" w:hint="eastAsia"/>
          <w:sz w:val="16"/>
          <w:szCs w:val="16"/>
        </w:rPr>
        <w:t>。</w:t>
      </w:r>
    </w:p>
    <w:p w14:paraId="0A724DC7"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这类数据的存在将直接影响模型训练阶段的监督信号，误导模型学习到错误的判别边界，</w:t>
      </w:r>
    </w:p>
    <w:p w14:paraId="5E1E8237"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从而导致预测准确率下降、泛化能力受限。此外，假阴性样本的混入也会对模型解释性分析产生干扰，</w:t>
      </w:r>
    </w:p>
    <w:p w14:paraId="5376574A"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难以准确定位关键原子或残基。因而，如何构建一个</w:t>
      </w:r>
      <w:r w:rsidRPr="00A00379">
        <w:rPr>
          <w:rFonts w:ascii="宋体" w:eastAsia="宋体" w:hAnsi="宋体" w:hint="eastAsia"/>
          <w:b/>
          <w:bCs/>
          <w:sz w:val="16"/>
          <w:szCs w:val="16"/>
        </w:rPr>
        <w:t>高可信、低噪声的负样本集合</w:t>
      </w:r>
      <w:r w:rsidRPr="00A00379">
        <w:rPr>
          <w:rFonts w:ascii="宋体" w:eastAsia="宋体" w:hAnsi="宋体" w:hint="eastAsia"/>
          <w:sz w:val="16"/>
          <w:szCs w:val="16"/>
        </w:rPr>
        <w:t>，以尽量</w:t>
      </w:r>
      <w:proofErr w:type="gramStart"/>
      <w:r w:rsidRPr="00A00379">
        <w:rPr>
          <w:rFonts w:ascii="宋体" w:eastAsia="宋体" w:hAnsi="宋体" w:hint="eastAsia"/>
          <w:sz w:val="16"/>
          <w:szCs w:val="16"/>
        </w:rPr>
        <w:t>减少假阴性对</w:t>
      </w:r>
      <w:proofErr w:type="gramEnd"/>
      <w:r w:rsidRPr="00A00379">
        <w:rPr>
          <w:rFonts w:ascii="宋体" w:eastAsia="宋体" w:hAnsi="宋体" w:hint="eastAsia"/>
          <w:sz w:val="16"/>
          <w:szCs w:val="16"/>
        </w:rPr>
        <w:t>的干扰，</w:t>
      </w:r>
    </w:p>
    <w:p w14:paraId="7DFF8D84"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是当前 DTI 研究中亟待解决的关键科学问题之一。</w:t>
      </w:r>
    </w:p>
    <w:p w14:paraId="1C4A26F4" w14:textId="75E10BDD" w:rsidR="00A00379" w:rsidRPr="002C005D" w:rsidRDefault="00A00379" w:rsidP="002C005D">
      <w:pPr>
        <w:spacing w:after="0" w:line="240" w:lineRule="auto"/>
        <w:ind w:firstLineChars="200" w:firstLine="321"/>
        <w:jc w:val="both"/>
        <w:rPr>
          <w:rFonts w:ascii="宋体" w:eastAsia="宋体" w:hAnsi="宋体"/>
          <w:sz w:val="16"/>
          <w:szCs w:val="16"/>
        </w:rPr>
      </w:pPr>
      <w:r w:rsidRPr="00B511B5">
        <w:rPr>
          <w:rFonts w:ascii="宋体" w:eastAsia="宋体" w:hAnsi="宋体" w:hint="eastAsia"/>
          <w:b/>
          <w:bCs/>
          <w:sz w:val="16"/>
          <w:szCs w:val="16"/>
          <w:highlight w:val="yellow"/>
        </w:rPr>
        <w:t xml:space="preserve">9. </w:t>
      </w:r>
      <w:r w:rsidRPr="002C005D">
        <w:rPr>
          <w:rFonts w:ascii="宋体" w:eastAsia="宋体" w:hAnsi="宋体" w:hint="eastAsia"/>
          <w:sz w:val="16"/>
          <w:szCs w:val="16"/>
        </w:rPr>
        <w:t>在药物-靶标相互作用（DTI）建模中，药物通常以分子图或SMILES序列形式表示，</w:t>
      </w:r>
    </w:p>
    <w:p w14:paraId="63C51603"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蛋白质则以氨基酸序列或三维结构表示。不同模态的数据反映了不同层次的生物学信息，</w:t>
      </w:r>
    </w:p>
    <w:p w14:paraId="1AEA53D9"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例如分子拓扑结构揭示了原子之间的连接关系，而序列信息则体现了功能域和局部序列保守性。</w:t>
      </w:r>
    </w:p>
    <w:p w14:paraId="2A9F6EBF"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仅依赖单一模态的信息难以全面捕捉药物与靶标之间复杂的相互作用机制，导致预测能力受限。</w:t>
      </w:r>
    </w:p>
    <w:p w14:paraId="416850BB"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lastRenderedPageBreak/>
        <w:t>不同模态在表达维度、语义粒度和结构层次上存在异构性，如何实现有效融合，成为当前研究中的关键挑战。</w:t>
      </w:r>
    </w:p>
    <w:p w14:paraId="59EDEA60"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因此，需要设计针对多模态特征的融合机制，既能保持各自模态的特征优势，又能建立不同模态间的语义联系，</w:t>
      </w:r>
    </w:p>
    <w:p w14:paraId="174559EA"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从而提升模型对复杂生物相互作用的表达与预测能力。</w:t>
      </w:r>
    </w:p>
    <w:p w14:paraId="6E18C7E2" w14:textId="24BBCFDC" w:rsidR="00A00379" w:rsidRPr="002C005D" w:rsidRDefault="00A00379" w:rsidP="002C005D">
      <w:pPr>
        <w:spacing w:after="0" w:line="240" w:lineRule="auto"/>
        <w:ind w:firstLineChars="200" w:firstLine="321"/>
        <w:jc w:val="both"/>
        <w:rPr>
          <w:rFonts w:ascii="宋体" w:eastAsia="宋体" w:hAnsi="宋体"/>
          <w:sz w:val="16"/>
          <w:szCs w:val="16"/>
        </w:rPr>
      </w:pPr>
      <w:r w:rsidRPr="00B511B5">
        <w:rPr>
          <w:rFonts w:ascii="宋体" w:eastAsia="宋体" w:hAnsi="宋体" w:hint="eastAsia"/>
          <w:b/>
          <w:bCs/>
          <w:sz w:val="16"/>
          <w:szCs w:val="16"/>
          <w:highlight w:val="yellow"/>
        </w:rPr>
        <w:t>10.</w:t>
      </w:r>
      <w:r w:rsidRPr="002C005D">
        <w:rPr>
          <w:rFonts w:ascii="宋体" w:eastAsia="宋体" w:hAnsi="宋体" w:hint="eastAsia"/>
          <w:color w:val="000000" w:themeColor="text1"/>
          <w:kern w:val="24"/>
          <w:sz w:val="16"/>
          <w:szCs w:val="16"/>
          <w14:ligatures w14:val="none"/>
        </w:rPr>
        <w:t xml:space="preserve"> </w:t>
      </w:r>
      <w:r w:rsidRPr="002C005D">
        <w:rPr>
          <w:rFonts w:ascii="宋体" w:eastAsia="宋体" w:hAnsi="宋体" w:hint="eastAsia"/>
          <w:sz w:val="16"/>
          <w:szCs w:val="16"/>
        </w:rPr>
        <w:t>蛋白质与药物之间的相互作用往往并非由单一位点主导，</w:t>
      </w:r>
    </w:p>
    <w:p w14:paraId="47B91BD1"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而是依赖于多个关键残基与原子之间的协同作用。</w:t>
      </w:r>
    </w:p>
    <w:p w14:paraId="236CFE5D"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这些作用位点可能分布于蛋白质结构的不同区域，</w:t>
      </w:r>
    </w:p>
    <w:p w14:paraId="2766FCAB"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具有明显的上下文依赖性与空间耦合关系。</w:t>
      </w:r>
    </w:p>
    <w:p w14:paraId="34F7FF84"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传统的深度学习模型虽能在整体上捕捉交互模式，</w:t>
      </w:r>
    </w:p>
    <w:p w14:paraId="29124B2A"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但往往缺乏明确的机制来解释哪些具体位点参与了相互作用，</w:t>
      </w:r>
    </w:p>
    <w:p w14:paraId="3DDA466D"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这在实际生物实验中限制了模型的可用性与可信度。因此，提升模型的可解释性，</w:t>
      </w:r>
    </w:p>
    <w:p w14:paraId="79CC97F7"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使其能够识别和定位关键残基与药物原子，不仅有助于理解预测背后的机制，还能为实验设计、</w:t>
      </w:r>
    </w:p>
    <w:p w14:paraId="38EECCCD"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靶点验证和药物优化提供更具指导性的线索。这一需求推动了可解释性机制在DTI建模中的深入融合与研究。</w:t>
      </w:r>
    </w:p>
    <w:p w14:paraId="2D171A36" w14:textId="6596FE93" w:rsidR="00A00379" w:rsidRPr="002C005D" w:rsidRDefault="00A00379" w:rsidP="002C005D">
      <w:pPr>
        <w:spacing w:after="0" w:line="240" w:lineRule="auto"/>
        <w:ind w:firstLineChars="200" w:firstLine="321"/>
        <w:jc w:val="both"/>
        <w:rPr>
          <w:rFonts w:ascii="宋体" w:eastAsia="宋体" w:hAnsi="宋体"/>
          <w:sz w:val="16"/>
          <w:szCs w:val="16"/>
        </w:rPr>
      </w:pPr>
      <w:r w:rsidRPr="00B511B5">
        <w:rPr>
          <w:rFonts w:ascii="宋体" w:eastAsia="宋体" w:hAnsi="宋体" w:hint="eastAsia"/>
          <w:b/>
          <w:bCs/>
          <w:sz w:val="16"/>
          <w:szCs w:val="16"/>
          <w:highlight w:val="yellow"/>
        </w:rPr>
        <w:t>11.</w:t>
      </w:r>
      <w:r w:rsidRPr="002C005D">
        <w:rPr>
          <w:rFonts w:ascii="宋体" w:eastAsia="宋体" w:hAnsi="宋体" w:hint="eastAsia"/>
          <w:color w:val="000000" w:themeColor="text1"/>
          <w:kern w:val="24"/>
          <w:sz w:val="16"/>
          <w:szCs w:val="16"/>
          <w14:ligatures w14:val="none"/>
        </w:rPr>
        <w:t xml:space="preserve"> </w:t>
      </w:r>
      <w:r w:rsidRPr="002C005D">
        <w:rPr>
          <w:rFonts w:ascii="宋体" w:eastAsia="宋体" w:hAnsi="宋体" w:hint="eastAsia"/>
          <w:sz w:val="16"/>
          <w:szCs w:val="16"/>
        </w:rPr>
        <w:t>在药物-靶点相互作用（DTI）预测中，负样本通常缺乏实验验证，随意从未标注的药-</w:t>
      </w:r>
      <w:proofErr w:type="gramStart"/>
      <w:r w:rsidRPr="002C005D">
        <w:rPr>
          <w:rFonts w:ascii="宋体" w:eastAsia="宋体" w:hAnsi="宋体" w:hint="eastAsia"/>
          <w:sz w:val="16"/>
          <w:szCs w:val="16"/>
        </w:rPr>
        <w:t>靶对中</w:t>
      </w:r>
      <w:proofErr w:type="gramEnd"/>
      <w:r w:rsidRPr="002C005D">
        <w:rPr>
          <w:rFonts w:ascii="宋体" w:eastAsia="宋体" w:hAnsi="宋体" w:hint="eastAsia"/>
          <w:sz w:val="16"/>
          <w:szCs w:val="16"/>
        </w:rPr>
        <w:t>采样容易</w:t>
      </w:r>
      <w:proofErr w:type="gramStart"/>
      <w:r w:rsidRPr="002C005D">
        <w:rPr>
          <w:rFonts w:ascii="宋体" w:eastAsia="宋体" w:hAnsi="宋体" w:hint="eastAsia"/>
          <w:sz w:val="16"/>
          <w:szCs w:val="16"/>
        </w:rPr>
        <w:t>引入假</w:t>
      </w:r>
      <w:proofErr w:type="gramEnd"/>
      <w:r w:rsidRPr="002C005D">
        <w:rPr>
          <w:rFonts w:ascii="宋体" w:eastAsia="宋体" w:hAnsi="宋体" w:hint="eastAsia"/>
          <w:sz w:val="16"/>
          <w:szCs w:val="16"/>
        </w:rPr>
        <w:t>阴性，</w:t>
      </w:r>
    </w:p>
    <w:p w14:paraId="6A5542A3"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影响模型性能。为提高数据质量，本研究提出基于“双向</w:t>
      </w:r>
      <w:proofErr w:type="gramStart"/>
      <w:r w:rsidRPr="00A00379">
        <w:rPr>
          <w:rFonts w:ascii="宋体" w:eastAsia="宋体" w:hAnsi="宋体" w:hint="eastAsia"/>
          <w:sz w:val="16"/>
          <w:szCs w:val="16"/>
        </w:rPr>
        <w:t>不</w:t>
      </w:r>
      <w:proofErr w:type="gramEnd"/>
      <w:r w:rsidRPr="00A00379">
        <w:rPr>
          <w:rFonts w:ascii="宋体" w:eastAsia="宋体" w:hAnsi="宋体" w:hint="eastAsia"/>
          <w:sz w:val="16"/>
          <w:szCs w:val="16"/>
        </w:rPr>
        <w:t>相似性规则”的高可信负样本筛选方法：</w:t>
      </w:r>
    </w:p>
    <w:p w14:paraId="63EA49D2"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一方面，如果某个蛋白质与某化合物的所有已知或预测靶点均不相似，那么该蛋白被该化合物靶向的可能性较低；</w:t>
      </w:r>
    </w:p>
    <w:p w14:paraId="2E1ED8A1"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另一方面，如果某化合物与已知或预测作用于某蛋白的所有化合物均不相似，那么其与该蛋白发生相互作用的可能性也较低。</w:t>
      </w:r>
    </w:p>
    <w:p w14:paraId="70695C12"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在此基础上，进一步引入蛋白质</w:t>
      </w:r>
      <w:proofErr w:type="gramStart"/>
      <w:r w:rsidRPr="00A00379">
        <w:rPr>
          <w:rFonts w:ascii="宋体" w:eastAsia="宋体" w:hAnsi="宋体" w:hint="eastAsia"/>
          <w:sz w:val="16"/>
          <w:szCs w:val="16"/>
        </w:rPr>
        <w:t>结构域与化合物</w:t>
      </w:r>
      <w:proofErr w:type="gramEnd"/>
      <w:r w:rsidRPr="00A00379">
        <w:rPr>
          <w:rFonts w:ascii="宋体" w:eastAsia="宋体" w:hAnsi="宋体" w:hint="eastAsia"/>
          <w:sz w:val="16"/>
          <w:szCs w:val="16"/>
        </w:rPr>
        <w:t>指纹等特征的方差分析，</w:t>
      </w:r>
    </w:p>
    <w:p w14:paraId="14FE189A"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确保参与筛选的样本在特征空间中具有足够的代表性与分布差异。通过这套规则与统计筛选流程，</w:t>
      </w:r>
    </w:p>
    <w:p w14:paraId="73027B5F"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可构建出更可靠、低噪声的负样本集，为模型提供更准确的训练监督，提升预测精度和稳定性。</w:t>
      </w:r>
    </w:p>
    <w:p w14:paraId="1EEEB473" w14:textId="31F7F6E5" w:rsidR="00A00379" w:rsidRPr="002C005D" w:rsidRDefault="00A00379" w:rsidP="002C005D">
      <w:pPr>
        <w:spacing w:after="0" w:line="240" w:lineRule="auto"/>
        <w:ind w:firstLineChars="200" w:firstLine="321"/>
        <w:jc w:val="both"/>
        <w:rPr>
          <w:rFonts w:ascii="宋体" w:eastAsia="宋体" w:hAnsi="宋体"/>
          <w:sz w:val="16"/>
          <w:szCs w:val="16"/>
        </w:rPr>
      </w:pPr>
      <w:r w:rsidRPr="00B511B5">
        <w:rPr>
          <w:rFonts w:ascii="宋体" w:eastAsia="宋体" w:hAnsi="宋体" w:hint="eastAsia"/>
          <w:b/>
          <w:bCs/>
          <w:sz w:val="16"/>
          <w:szCs w:val="16"/>
          <w:highlight w:val="yellow"/>
        </w:rPr>
        <w:t xml:space="preserve">12. </w:t>
      </w:r>
      <w:r w:rsidRPr="002C005D">
        <w:rPr>
          <w:rFonts w:ascii="宋体" w:eastAsia="宋体" w:hAnsi="宋体" w:hint="eastAsia"/>
          <w:sz w:val="16"/>
          <w:szCs w:val="16"/>
        </w:rPr>
        <w:t>药物和蛋白质分别具有序列和</w:t>
      </w:r>
      <w:proofErr w:type="gramStart"/>
      <w:r w:rsidRPr="002C005D">
        <w:rPr>
          <w:rFonts w:ascii="宋体" w:eastAsia="宋体" w:hAnsi="宋体" w:hint="eastAsia"/>
          <w:sz w:val="16"/>
          <w:szCs w:val="16"/>
        </w:rPr>
        <w:t>图结构</w:t>
      </w:r>
      <w:proofErr w:type="gramEnd"/>
      <w:r w:rsidRPr="002C005D">
        <w:rPr>
          <w:rFonts w:ascii="宋体" w:eastAsia="宋体" w:hAnsi="宋体" w:hint="eastAsia"/>
          <w:sz w:val="16"/>
          <w:szCs w:val="16"/>
        </w:rPr>
        <w:t>等多种模态表示，不同模态之间蕴含互补信息。</w:t>
      </w:r>
    </w:p>
    <w:p w14:paraId="468D5AE5"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传统的多模态融合方法多采用拼接或</w:t>
      </w:r>
      <w:proofErr w:type="gramStart"/>
      <w:r w:rsidRPr="00A00379">
        <w:rPr>
          <w:rFonts w:ascii="宋体" w:eastAsia="宋体" w:hAnsi="宋体" w:hint="eastAsia"/>
          <w:sz w:val="16"/>
          <w:szCs w:val="16"/>
        </w:rPr>
        <w:t>全局池化等</w:t>
      </w:r>
      <w:proofErr w:type="gramEnd"/>
      <w:r w:rsidRPr="00A00379">
        <w:rPr>
          <w:rFonts w:ascii="宋体" w:eastAsia="宋体" w:hAnsi="宋体" w:hint="eastAsia"/>
          <w:sz w:val="16"/>
          <w:szCs w:val="16"/>
        </w:rPr>
        <w:t>简单策略，难以有效建模模态间的深层关联，导致融合效果有限。</w:t>
      </w:r>
    </w:p>
    <w:p w14:paraId="37E4E918"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为此，本研究引入</w:t>
      </w:r>
      <w:r w:rsidRPr="00A00379">
        <w:rPr>
          <w:rFonts w:ascii="宋体" w:eastAsia="宋体" w:hAnsi="宋体" w:hint="eastAsia"/>
          <w:b/>
          <w:bCs/>
          <w:sz w:val="16"/>
          <w:szCs w:val="16"/>
        </w:rPr>
        <w:t>交叉注意力机制（Cross-Attention）</w:t>
      </w:r>
      <w:r w:rsidRPr="00A00379">
        <w:rPr>
          <w:rFonts w:ascii="宋体" w:eastAsia="宋体" w:hAnsi="宋体" w:hint="eastAsia"/>
          <w:sz w:val="16"/>
          <w:szCs w:val="16"/>
        </w:rPr>
        <w:t>，实现序列嵌入与</w:t>
      </w:r>
      <w:proofErr w:type="gramStart"/>
      <w:r w:rsidRPr="00A00379">
        <w:rPr>
          <w:rFonts w:ascii="宋体" w:eastAsia="宋体" w:hAnsi="宋体" w:hint="eastAsia"/>
          <w:sz w:val="16"/>
          <w:szCs w:val="16"/>
        </w:rPr>
        <w:t>图结构</w:t>
      </w:r>
      <w:proofErr w:type="gramEnd"/>
      <w:r w:rsidRPr="00A00379">
        <w:rPr>
          <w:rFonts w:ascii="宋体" w:eastAsia="宋体" w:hAnsi="宋体" w:hint="eastAsia"/>
          <w:sz w:val="16"/>
          <w:szCs w:val="16"/>
        </w:rPr>
        <w:t>特征之间的显式对齐。</w:t>
      </w:r>
    </w:p>
    <w:p w14:paraId="63CF18C1"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通过将一种模态作为查询（Query），另一种模态作为键和值（Key/Value），</w:t>
      </w:r>
    </w:p>
    <w:p w14:paraId="1AF5988E"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交叉注意力可自动学习两者之间的相关性权重，从而捕捉关键位点的跨模态交互关系。</w:t>
      </w:r>
    </w:p>
    <w:p w14:paraId="5AEA3D67"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该机制不仅提升了融合表示的表达能力，还保留了原始模态的重要特征，有助于下游预测任务更准确地建模药物与蛋白质之间的复杂作用，</w:t>
      </w:r>
    </w:p>
    <w:p w14:paraId="67426CA3"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为提高模型的判别能力和泛化能力提供了有效手段。</w:t>
      </w:r>
    </w:p>
    <w:p w14:paraId="6C873ACB" w14:textId="3A13BC5C" w:rsidR="00A00379" w:rsidRPr="002C005D" w:rsidRDefault="00A00379" w:rsidP="002C005D">
      <w:pPr>
        <w:spacing w:after="0" w:line="240" w:lineRule="auto"/>
        <w:ind w:firstLineChars="200" w:firstLine="321"/>
        <w:jc w:val="both"/>
        <w:rPr>
          <w:rFonts w:ascii="宋体" w:eastAsia="宋体" w:hAnsi="宋体"/>
          <w:sz w:val="16"/>
          <w:szCs w:val="16"/>
        </w:rPr>
      </w:pPr>
      <w:r w:rsidRPr="00B511B5">
        <w:rPr>
          <w:rFonts w:ascii="宋体" w:eastAsia="宋体" w:hAnsi="宋体" w:hint="eastAsia"/>
          <w:b/>
          <w:bCs/>
          <w:sz w:val="16"/>
          <w:szCs w:val="16"/>
          <w:highlight w:val="yellow"/>
        </w:rPr>
        <w:t>13.</w:t>
      </w:r>
      <w:r w:rsidRPr="002C005D">
        <w:rPr>
          <w:rFonts w:ascii="宋体" w:eastAsia="宋体" w:hAnsi="宋体" w:hint="eastAsia"/>
          <w:color w:val="000000" w:themeColor="text1"/>
          <w:kern w:val="24"/>
          <w:sz w:val="16"/>
          <w:szCs w:val="16"/>
          <w14:ligatures w14:val="none"/>
        </w:rPr>
        <w:t xml:space="preserve"> </w:t>
      </w:r>
      <w:r w:rsidRPr="002C005D">
        <w:rPr>
          <w:rFonts w:ascii="宋体" w:eastAsia="宋体" w:hAnsi="宋体" w:hint="eastAsia"/>
          <w:sz w:val="16"/>
          <w:szCs w:val="16"/>
        </w:rPr>
        <w:t>蛋白质中的多个残基与药物分子中的多个原子可能以复杂的方式共同参与相互作用，</w:t>
      </w:r>
    </w:p>
    <w:p w14:paraId="1AE762D4"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单一局部信息难以揭示其全貌。为全面建模这种多对多关系，本研究引入</w:t>
      </w:r>
      <w:r w:rsidRPr="00A00379">
        <w:rPr>
          <w:rFonts w:ascii="宋体" w:eastAsia="宋体" w:hAnsi="宋体" w:hint="eastAsia"/>
          <w:b/>
          <w:bCs/>
          <w:sz w:val="16"/>
          <w:szCs w:val="16"/>
        </w:rPr>
        <w:t>多头注意力机制（Multi-Head Attention）</w:t>
      </w:r>
      <w:r w:rsidRPr="00A00379">
        <w:rPr>
          <w:rFonts w:ascii="宋体" w:eastAsia="宋体" w:hAnsi="宋体" w:hint="eastAsia"/>
          <w:sz w:val="16"/>
          <w:szCs w:val="16"/>
        </w:rPr>
        <w:t>，</w:t>
      </w:r>
    </w:p>
    <w:p w14:paraId="39C713D7"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用于学习蛋白残基与药物原子之间的</w:t>
      </w:r>
      <w:r w:rsidRPr="00A00379">
        <w:rPr>
          <w:rFonts w:ascii="宋体" w:eastAsia="宋体" w:hAnsi="宋体" w:hint="eastAsia"/>
          <w:b/>
          <w:bCs/>
          <w:sz w:val="16"/>
          <w:szCs w:val="16"/>
        </w:rPr>
        <w:t>全局语义交互</w:t>
      </w:r>
      <w:r w:rsidRPr="00A00379">
        <w:rPr>
          <w:rFonts w:ascii="宋体" w:eastAsia="宋体" w:hAnsi="宋体" w:hint="eastAsia"/>
          <w:sz w:val="16"/>
          <w:szCs w:val="16"/>
        </w:rPr>
        <w:t>。</w:t>
      </w:r>
    </w:p>
    <w:p w14:paraId="2550FB1F"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该机制允许模型从多个表示子空间并行捕捉不同的交互模式，使每个原子能够关注所有残基，</w:t>
      </w:r>
    </w:p>
    <w:p w14:paraId="2EBE89D6"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每个残基也能感知所有原子的重要性。通过整合多个注意力头的信息，</w:t>
      </w:r>
    </w:p>
    <w:p w14:paraId="5EBAABB6"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不仅提升了模型对长距离依赖和复杂结构的建模能力，还能在训练过程中生成具有可解释性的注意力权重矩阵。</w:t>
      </w:r>
    </w:p>
    <w:p w14:paraId="3A5A3E35"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该权重可用于识别关键原子-残基对，辅助分析模型决策依据，从而实现分子层级的解释能力，</w:t>
      </w:r>
    </w:p>
    <w:p w14:paraId="33114FF8"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增强模型在药物设计与靶点识别等实际应用中的实用价值。</w:t>
      </w:r>
    </w:p>
    <w:p w14:paraId="72C3AA64" w14:textId="514BBE42" w:rsidR="00A00379" w:rsidRPr="002C005D" w:rsidRDefault="00A00379" w:rsidP="002C005D">
      <w:pPr>
        <w:spacing w:after="0" w:line="240" w:lineRule="auto"/>
        <w:ind w:firstLineChars="200" w:firstLine="321"/>
        <w:jc w:val="both"/>
        <w:rPr>
          <w:rFonts w:ascii="宋体" w:eastAsia="宋体" w:hAnsi="宋体"/>
          <w:sz w:val="16"/>
          <w:szCs w:val="16"/>
        </w:rPr>
      </w:pPr>
      <w:r w:rsidRPr="00B511B5">
        <w:rPr>
          <w:rFonts w:ascii="宋体" w:eastAsia="宋体" w:hAnsi="宋体" w:hint="eastAsia"/>
          <w:b/>
          <w:bCs/>
          <w:sz w:val="16"/>
          <w:szCs w:val="16"/>
          <w:highlight w:val="yellow"/>
        </w:rPr>
        <w:t xml:space="preserve">14. </w:t>
      </w:r>
      <w:r w:rsidRPr="002C005D">
        <w:rPr>
          <w:rFonts w:ascii="宋体" w:eastAsia="宋体" w:hAnsi="宋体" w:hint="eastAsia"/>
          <w:sz w:val="16"/>
          <w:szCs w:val="16"/>
        </w:rPr>
        <w:t>预处理，</w:t>
      </w:r>
      <w:proofErr w:type="spellStart"/>
      <w:r w:rsidRPr="002C005D">
        <w:rPr>
          <w:rFonts w:ascii="宋体" w:eastAsia="宋体" w:hAnsi="宋体" w:hint="eastAsia"/>
          <w:sz w:val="16"/>
          <w:szCs w:val="16"/>
        </w:rPr>
        <w:t>DrugBank</w:t>
      </w:r>
      <w:proofErr w:type="spellEnd"/>
      <w:r w:rsidRPr="002C005D">
        <w:rPr>
          <w:rFonts w:ascii="宋体" w:eastAsia="宋体" w:hAnsi="宋体" w:hint="eastAsia"/>
          <w:sz w:val="16"/>
          <w:szCs w:val="16"/>
        </w:rPr>
        <w:t xml:space="preserve"> 4.1，Matador，STITCH 4.0作为基础数据库，</w:t>
      </w:r>
      <w:r w:rsidRPr="002C005D">
        <w:rPr>
          <w:rFonts w:ascii="宋体" w:eastAsia="宋体" w:hAnsi="宋体" w:hint="eastAsia"/>
          <w:sz w:val="16"/>
          <w:szCs w:val="16"/>
        </w:rPr>
        <w:br/>
        <w:t>对其进行数据清洗，特征提取，标准化等操作</w:t>
      </w:r>
      <w:r w:rsidRPr="002C005D">
        <w:rPr>
          <w:rFonts w:ascii="宋体" w:eastAsia="宋体" w:hAnsi="宋体" w:hint="eastAsia"/>
          <w:sz w:val="16"/>
          <w:szCs w:val="16"/>
        </w:rPr>
        <w:br/>
      </w:r>
      <w:proofErr w:type="spellStart"/>
      <w:r w:rsidRPr="002C005D">
        <w:rPr>
          <w:rFonts w:ascii="宋体" w:eastAsia="宋体" w:hAnsi="宋体" w:hint="eastAsia"/>
          <w:sz w:val="16"/>
          <w:szCs w:val="16"/>
        </w:rPr>
        <w:t>DrugBank</w:t>
      </w:r>
      <w:proofErr w:type="spellEnd"/>
      <w:r w:rsidRPr="002C005D">
        <w:rPr>
          <w:rFonts w:ascii="宋体" w:eastAsia="宋体" w:hAnsi="宋体" w:hint="eastAsia"/>
          <w:sz w:val="16"/>
          <w:szCs w:val="16"/>
        </w:rPr>
        <w:t>和Matador是人工整理的数据库，而STITCH则是一个综合性的数据库，</w:t>
      </w:r>
      <w:r w:rsidRPr="002C005D">
        <w:rPr>
          <w:rFonts w:ascii="宋体" w:eastAsia="宋体" w:hAnsi="宋体" w:hint="eastAsia"/>
          <w:sz w:val="16"/>
          <w:szCs w:val="16"/>
        </w:rPr>
        <w:br/>
        <w:t>STITCH为每个相互作用提供了一个从0到1000的评分，该评分表明了相互作用可信度。</w:t>
      </w:r>
    </w:p>
    <w:p w14:paraId="576CC20D"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由于</w:t>
      </w:r>
      <w:proofErr w:type="spellStart"/>
      <w:r w:rsidRPr="00A00379">
        <w:rPr>
          <w:rFonts w:ascii="宋体" w:eastAsia="宋体" w:hAnsi="宋体" w:hint="eastAsia"/>
          <w:sz w:val="16"/>
          <w:szCs w:val="16"/>
        </w:rPr>
        <w:t>DrugBank</w:t>
      </w:r>
      <w:proofErr w:type="spellEnd"/>
      <w:r w:rsidRPr="00A00379">
        <w:rPr>
          <w:rFonts w:ascii="宋体" w:eastAsia="宋体" w:hAnsi="宋体" w:hint="eastAsia"/>
          <w:sz w:val="16"/>
          <w:szCs w:val="16"/>
        </w:rPr>
        <w:t>和Matador中的相互作用均得到了生化实验和文献的支持，因此本文将其相互作用的评分设为最高分1000。</w:t>
      </w:r>
    </w:p>
    <w:p w14:paraId="0F2F03A9" w14:textId="13D15781" w:rsidR="00A00379" w:rsidRPr="002C005D" w:rsidRDefault="00A00379" w:rsidP="002C005D">
      <w:pPr>
        <w:spacing w:after="0" w:line="240" w:lineRule="auto"/>
        <w:ind w:firstLineChars="200" w:firstLine="321"/>
        <w:jc w:val="both"/>
        <w:rPr>
          <w:rFonts w:ascii="宋体" w:eastAsia="宋体" w:hAnsi="宋体"/>
          <w:sz w:val="16"/>
          <w:szCs w:val="16"/>
        </w:rPr>
      </w:pPr>
      <w:r w:rsidRPr="00B511B5">
        <w:rPr>
          <w:rFonts w:ascii="宋体" w:eastAsia="宋体" w:hAnsi="宋体" w:hint="eastAsia"/>
          <w:b/>
          <w:bCs/>
          <w:sz w:val="16"/>
          <w:szCs w:val="16"/>
          <w:highlight w:val="yellow"/>
        </w:rPr>
        <w:t>15.</w:t>
      </w:r>
      <w:r w:rsidRPr="002C005D">
        <w:rPr>
          <w:rFonts w:ascii="宋体" w:eastAsia="宋体" w:hAnsi="宋体" w:cs="Times New Roman" w:hint="eastAsia"/>
          <w:color w:val="000000" w:themeColor="text1"/>
          <w:kern w:val="24"/>
          <w:sz w:val="16"/>
          <w:szCs w:val="16"/>
          <w14:ligatures w14:val="none"/>
        </w:rPr>
        <w:t xml:space="preserve"> </w:t>
      </w:r>
      <w:r w:rsidRPr="002C005D">
        <w:rPr>
          <w:rFonts w:ascii="宋体" w:eastAsia="宋体" w:hAnsi="宋体" w:hint="eastAsia"/>
          <w:sz w:val="16"/>
          <w:szCs w:val="16"/>
        </w:rPr>
        <w:t>从三个数据库中获得的已有的数据</w:t>
      </w:r>
      <m:oMath>
        <m:r>
          <w:rPr>
            <w:rFonts w:ascii="Cambria Math" w:eastAsia="宋体" w:hAnsi="Cambria Math" w:hint="eastAsia"/>
            <w:sz w:val="16"/>
            <w:szCs w:val="16"/>
          </w:rPr>
          <m:t>对</m:t>
        </m:r>
        <m:r>
          <w:rPr>
            <w:rFonts w:ascii="Cambria Math" w:eastAsia="宋体" w:hAnsi="Cambria Math"/>
            <w:sz w:val="16"/>
            <w:szCs w:val="16"/>
          </w:rPr>
          <m:t>(</m:t>
        </m:r>
        <m:sSub>
          <m:sSubPr>
            <m:ctrlPr>
              <w:rPr>
                <w:rFonts w:ascii="Cambria Math" w:eastAsia="宋体" w:hAnsi="Cambria Math"/>
                <w:i/>
                <w:iCs/>
                <w:sz w:val="16"/>
                <w:szCs w:val="16"/>
              </w:rPr>
            </m:ctrlPr>
          </m:sSubPr>
          <m:e>
            <m:r>
              <w:rPr>
                <w:rFonts w:ascii="Cambria Math" w:eastAsia="宋体" w:hAnsi="Cambria Math"/>
                <w:sz w:val="16"/>
                <w:szCs w:val="16"/>
              </w:rPr>
              <m:t>c</m:t>
            </m:r>
          </m:e>
          <m:sub>
            <m:r>
              <w:rPr>
                <w:rFonts w:ascii="Cambria Math" w:eastAsia="宋体" w:hAnsi="Cambria Math"/>
                <w:sz w:val="16"/>
                <w:szCs w:val="16"/>
              </w:rPr>
              <m:t>i</m:t>
            </m:r>
          </m:sub>
        </m:sSub>
        <m:r>
          <w:rPr>
            <w:rFonts w:ascii="Cambria Math" w:eastAsia="宋体" w:hAnsi="Cambria Math"/>
            <w:sz w:val="16"/>
            <w:szCs w:val="16"/>
          </w:rPr>
          <m:t>,</m:t>
        </m:r>
        <m:sSub>
          <m:sSubPr>
            <m:ctrlPr>
              <w:rPr>
                <w:rFonts w:ascii="Cambria Math" w:eastAsia="宋体" w:hAnsi="Cambria Math"/>
                <w:i/>
                <w:iCs/>
                <w:sz w:val="16"/>
                <w:szCs w:val="16"/>
              </w:rPr>
            </m:ctrlPr>
          </m:sSubPr>
          <m:e>
            <m:r>
              <w:rPr>
                <w:rFonts w:ascii="Cambria Math" w:eastAsia="宋体" w:hAnsi="Cambria Math"/>
                <w:sz w:val="16"/>
                <w:szCs w:val="16"/>
              </w:rPr>
              <m:t>p</m:t>
            </m:r>
          </m:e>
          <m:sub>
            <m:r>
              <w:rPr>
                <w:rFonts w:ascii="Cambria Math" w:eastAsia="宋体" w:hAnsi="Cambria Math"/>
                <w:sz w:val="16"/>
                <w:szCs w:val="16"/>
              </w:rPr>
              <m:t>j</m:t>
            </m:r>
          </m:sub>
        </m:sSub>
        <m:r>
          <w:rPr>
            <w:rFonts w:ascii="Cambria Math" w:eastAsia="宋体" w:hAnsi="Cambria Math"/>
            <w:sz w:val="16"/>
            <w:szCs w:val="16"/>
          </w:rPr>
          <m:t>,</m:t>
        </m:r>
        <m:sSub>
          <m:sSubPr>
            <m:ctrlPr>
              <w:rPr>
                <w:rFonts w:ascii="Cambria Math" w:eastAsia="宋体" w:hAnsi="Cambria Math"/>
                <w:i/>
                <w:iCs/>
                <w:sz w:val="16"/>
                <w:szCs w:val="16"/>
              </w:rPr>
            </m:ctrlPr>
          </m:sSubPr>
          <m:e>
            <m:r>
              <w:rPr>
                <w:rFonts w:ascii="Cambria Math" w:eastAsia="宋体" w:hAnsi="Cambria Math"/>
                <w:sz w:val="16"/>
                <w:szCs w:val="16"/>
              </w:rPr>
              <m:t>w</m:t>
            </m:r>
          </m:e>
          <m:sub>
            <m:r>
              <w:rPr>
                <w:rFonts w:ascii="Cambria Math" w:eastAsia="宋体" w:hAnsi="Cambria Math"/>
                <w:sz w:val="16"/>
                <w:szCs w:val="16"/>
              </w:rPr>
              <m:t>ij</m:t>
            </m:r>
          </m:sub>
        </m:sSub>
        <m:r>
          <w:rPr>
            <w:rFonts w:ascii="Cambria Math" w:eastAsia="宋体" w:hAnsi="Cambria Math"/>
            <w:sz w:val="16"/>
            <w:szCs w:val="16"/>
          </w:rPr>
          <m:t>)∈K</m:t>
        </m:r>
      </m:oMath>
      <w:r w:rsidRPr="002C005D">
        <w:rPr>
          <w:rFonts w:ascii="宋体" w:eastAsia="宋体" w:hAnsi="宋体" w:hint="eastAsia"/>
          <w:sz w:val="16"/>
          <w:szCs w:val="16"/>
        </w:rPr>
        <w:t>表示药物</w:t>
      </w:r>
      <m:oMath>
        <m:sSub>
          <m:sSubPr>
            <m:ctrlPr>
              <w:rPr>
                <w:rFonts w:ascii="Cambria Math" w:eastAsia="宋体" w:hAnsi="Cambria Math"/>
                <w:i/>
                <w:iCs/>
                <w:sz w:val="16"/>
                <w:szCs w:val="16"/>
              </w:rPr>
            </m:ctrlPr>
          </m:sSubPr>
          <m:e>
            <m:r>
              <w:rPr>
                <w:rFonts w:ascii="Cambria Math" w:eastAsia="宋体" w:hAnsi="Cambria Math"/>
                <w:sz w:val="16"/>
                <w:szCs w:val="16"/>
              </w:rPr>
              <m:t>c</m:t>
            </m:r>
          </m:e>
          <m:sub>
            <m:r>
              <w:rPr>
                <w:rFonts w:ascii="Cambria Math" w:eastAsia="宋体" w:hAnsi="Cambria Math"/>
                <w:sz w:val="16"/>
                <w:szCs w:val="16"/>
              </w:rPr>
              <m:t>i</m:t>
            </m:r>
          </m:sub>
        </m:sSub>
      </m:oMath>
      <w:r w:rsidRPr="002C005D">
        <w:rPr>
          <w:rFonts w:ascii="宋体" w:eastAsia="宋体" w:hAnsi="宋体" w:hint="eastAsia"/>
          <w:sz w:val="16"/>
          <w:szCs w:val="16"/>
        </w:rPr>
        <w:t>与蛋白质</w:t>
      </w:r>
      <m:oMath>
        <m:sSub>
          <m:sSubPr>
            <m:ctrlPr>
              <w:rPr>
                <w:rFonts w:ascii="Cambria Math" w:eastAsia="宋体" w:hAnsi="Cambria Math"/>
                <w:i/>
                <w:iCs/>
                <w:sz w:val="16"/>
                <w:szCs w:val="16"/>
              </w:rPr>
            </m:ctrlPr>
          </m:sSubPr>
          <m:e>
            <m:r>
              <w:rPr>
                <w:rFonts w:ascii="Cambria Math" w:eastAsia="宋体" w:hAnsi="Cambria Math"/>
                <w:sz w:val="16"/>
                <w:szCs w:val="16"/>
              </w:rPr>
              <m:t>p</m:t>
            </m:r>
          </m:e>
          <m:sub>
            <m:r>
              <w:rPr>
                <w:rFonts w:ascii="Cambria Math" w:eastAsia="宋体" w:hAnsi="Cambria Math"/>
                <w:sz w:val="16"/>
                <w:szCs w:val="16"/>
              </w:rPr>
              <m:t>j</m:t>
            </m:r>
          </m:sub>
        </m:sSub>
      </m:oMath>
      <w:r w:rsidRPr="002C005D">
        <w:rPr>
          <w:rFonts w:ascii="宋体" w:eastAsia="宋体" w:hAnsi="宋体" w:hint="eastAsia"/>
          <w:sz w:val="16"/>
          <w:szCs w:val="16"/>
        </w:rPr>
        <w:t>之间的相互作用，置信度为</w:t>
      </w:r>
      <m:oMath>
        <m:sSub>
          <m:sSubPr>
            <m:ctrlPr>
              <w:rPr>
                <w:rFonts w:ascii="Cambria Math" w:eastAsia="宋体" w:hAnsi="Cambria Math"/>
                <w:i/>
                <w:iCs/>
                <w:sz w:val="16"/>
                <w:szCs w:val="16"/>
              </w:rPr>
            </m:ctrlPr>
          </m:sSubPr>
          <m:e>
            <m:r>
              <w:rPr>
                <w:rFonts w:ascii="Cambria Math" w:eastAsia="宋体" w:hAnsi="Cambria Math"/>
                <w:sz w:val="16"/>
                <w:szCs w:val="16"/>
              </w:rPr>
              <m:t>w</m:t>
            </m:r>
          </m:e>
          <m:sub>
            <m:r>
              <w:rPr>
                <w:rFonts w:ascii="Cambria Math" w:eastAsia="宋体" w:hAnsi="Cambria Math"/>
                <w:sz w:val="16"/>
                <w:szCs w:val="16"/>
              </w:rPr>
              <m:t>ij</m:t>
            </m:r>
          </m:sub>
        </m:sSub>
      </m:oMath>
      <w:r w:rsidRPr="002C005D">
        <w:rPr>
          <w:rFonts w:ascii="宋体" w:eastAsia="宋体" w:hAnsi="宋体" w:hint="eastAsia"/>
          <w:sz w:val="16"/>
          <w:szCs w:val="16"/>
        </w:rPr>
        <w:t>。</w:t>
      </w:r>
      <w:r w:rsidRPr="002C005D">
        <w:rPr>
          <w:rFonts w:ascii="宋体" w:eastAsia="宋体" w:hAnsi="宋体" w:hint="eastAsia"/>
          <w:sz w:val="16"/>
          <w:szCs w:val="16"/>
        </w:rPr>
        <w:br/>
      </w:r>
      <w:r w:rsidRPr="002C005D">
        <w:rPr>
          <w:rFonts w:ascii="宋体" w:eastAsia="宋体" w:hAnsi="宋体" w:hint="eastAsia"/>
          <w:sz w:val="16"/>
          <w:szCs w:val="16"/>
        </w:rPr>
        <w:lastRenderedPageBreak/>
        <w:t>蛋白质间的相似度评分来自，结构域相似性-PFAM-Jaccard得分；功能注释语义相似度-GO数据库-Jaccard；序列相似性-UCSC Table Browser-Smith–Waterman得分；</w:t>
      </w:r>
    </w:p>
    <w:p w14:paraId="19AC1D0C" w14:textId="7EA23586"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药物间的相似度评分来自，化学结构相似性-PubChem-Jaccard得分；副作用相似性-Jaccard得分；</w:t>
      </w:r>
      <m:oMath>
        <m:r>
          <w:rPr>
            <w:rFonts w:ascii="Cambria Math" w:eastAsia="宋体" w:hAnsi="Cambria Math"/>
            <w:sz w:val="16"/>
            <w:szCs w:val="16"/>
          </w:rPr>
          <m:t>|c∩</m:t>
        </m:r>
        <m:sSup>
          <m:sSupPr>
            <m:ctrlPr>
              <w:rPr>
                <w:rFonts w:ascii="Cambria Math" w:eastAsia="宋体" w:hAnsi="Cambria Math"/>
                <w:i/>
                <w:iCs/>
                <w:sz w:val="16"/>
                <w:szCs w:val="16"/>
              </w:rPr>
            </m:ctrlPr>
          </m:sSupPr>
          <m:e>
            <m:r>
              <w:rPr>
                <w:rFonts w:ascii="Cambria Math" w:eastAsia="宋体" w:hAnsi="Cambria Math"/>
                <w:sz w:val="16"/>
                <w:szCs w:val="16"/>
              </w:rPr>
              <m:t>c</m:t>
            </m:r>
          </m:e>
          <m:sup>
            <m:r>
              <w:rPr>
                <w:rFonts w:ascii="Cambria Math" w:eastAsia="宋体" w:hAnsi="Cambria Math"/>
                <w:sz w:val="16"/>
                <w:szCs w:val="16"/>
              </w:rPr>
              <m:t>'</m:t>
            </m:r>
          </m:sup>
        </m:sSup>
        <m:r>
          <w:rPr>
            <w:rFonts w:ascii="Cambria Math" w:eastAsia="宋体" w:hAnsi="Cambria Math"/>
            <w:sz w:val="16"/>
            <w:szCs w:val="16"/>
          </w:rPr>
          <m:t>|/|c∪</m:t>
        </m:r>
        <m:sSup>
          <m:sSupPr>
            <m:ctrlPr>
              <w:rPr>
                <w:rFonts w:ascii="Cambria Math" w:eastAsia="宋体" w:hAnsi="Cambria Math"/>
                <w:i/>
                <w:iCs/>
                <w:sz w:val="16"/>
                <w:szCs w:val="16"/>
              </w:rPr>
            </m:ctrlPr>
          </m:sSupPr>
          <m:e>
            <m:r>
              <w:rPr>
                <w:rFonts w:ascii="Cambria Math" w:eastAsia="宋体" w:hAnsi="Cambria Math"/>
                <w:sz w:val="16"/>
                <w:szCs w:val="16"/>
              </w:rPr>
              <m:t>c</m:t>
            </m:r>
          </m:e>
          <m:sup>
            <m:r>
              <w:rPr>
                <w:rFonts w:ascii="Cambria Math" w:eastAsia="宋体" w:hAnsi="Cambria Math"/>
                <w:sz w:val="16"/>
                <w:szCs w:val="16"/>
              </w:rPr>
              <m:t>'</m:t>
            </m:r>
          </m:sup>
        </m:sSup>
        <m:r>
          <w:rPr>
            <w:rFonts w:ascii="Cambria Math" w:eastAsia="宋体" w:hAnsi="Cambria Math"/>
            <w:sz w:val="16"/>
            <w:szCs w:val="16"/>
          </w:rPr>
          <m:t>|</m:t>
        </m:r>
      </m:oMath>
      <w:r w:rsidRPr="00A00379">
        <w:rPr>
          <w:rFonts w:ascii="宋体" w:eastAsia="宋体" w:hAnsi="宋体" w:hint="eastAsia"/>
          <w:sz w:val="16"/>
          <w:szCs w:val="16"/>
        </w:rPr>
        <w:t>共同子结构的数量与它们所有子结构总数量之比；</w:t>
      </w:r>
    </w:p>
    <w:p w14:paraId="7AE3271A"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类内相似性计算后，右上角图的外围的相似度值均可得到。</w:t>
      </w:r>
    </w:p>
    <w:p w14:paraId="7760172A" w14:textId="6FB15B0F"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(2.a) 以未知的蛋白质j与药物k的关系来看，综合药物k与所有已知的蛋白L的可信度，及蛋白j与所有蛋白L的相似度，获取蛋白j被药物k靶向的可能性</w:t>
      </w:r>
      <m:oMath>
        <m:sSub>
          <m:sSubPr>
            <m:ctrlPr>
              <w:rPr>
                <w:rFonts w:ascii="Cambria Math" w:eastAsia="宋体" w:hAnsi="Cambria Math"/>
                <w:i/>
                <w:iCs/>
                <w:sz w:val="16"/>
                <w:szCs w:val="16"/>
              </w:rPr>
            </m:ctrlPr>
          </m:sSubPr>
          <m:e>
            <m:r>
              <w:rPr>
                <w:rFonts w:ascii="Cambria Math" w:eastAsia="宋体" w:hAnsi="Cambria Math"/>
                <w:sz w:val="16"/>
                <w:szCs w:val="16"/>
              </w:rPr>
              <m:t>SPC</m:t>
            </m:r>
          </m:e>
          <m:sub>
            <m:r>
              <w:rPr>
                <w:rFonts w:ascii="Cambria Math" w:eastAsia="宋体" w:hAnsi="Cambria Math"/>
                <w:sz w:val="16"/>
                <w:szCs w:val="16"/>
              </w:rPr>
              <m:t>jk</m:t>
            </m:r>
          </m:sub>
        </m:sSub>
      </m:oMath>
    </w:p>
    <w:p w14:paraId="3C6596E0" w14:textId="72472C1A"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 xml:space="preserve">(2.b) 以未知的药物k与蛋白j的关系来看，综合蛋白j与所有已知的药物 </w:t>
      </w:r>
      <w:proofErr w:type="spellStart"/>
      <w:r w:rsidRPr="00A00379">
        <w:rPr>
          <w:rFonts w:ascii="宋体" w:eastAsia="宋体" w:hAnsi="宋体" w:hint="eastAsia"/>
          <w:sz w:val="16"/>
          <w:szCs w:val="16"/>
        </w:rPr>
        <w:t>i</w:t>
      </w:r>
      <w:proofErr w:type="spellEnd"/>
      <w:r w:rsidRPr="00A00379">
        <w:rPr>
          <w:rFonts w:ascii="宋体" w:eastAsia="宋体" w:hAnsi="宋体" w:hint="eastAsia"/>
          <w:sz w:val="16"/>
          <w:szCs w:val="16"/>
        </w:rPr>
        <w:t xml:space="preserve"> 的可信度，及药物k与所有药物 </w:t>
      </w:r>
      <w:proofErr w:type="spellStart"/>
      <w:r w:rsidRPr="00A00379">
        <w:rPr>
          <w:rFonts w:ascii="宋体" w:eastAsia="宋体" w:hAnsi="宋体" w:hint="eastAsia"/>
          <w:sz w:val="16"/>
          <w:szCs w:val="16"/>
        </w:rPr>
        <w:t>i</w:t>
      </w:r>
      <w:proofErr w:type="spellEnd"/>
      <w:r w:rsidRPr="00A00379">
        <w:rPr>
          <w:rFonts w:ascii="宋体" w:eastAsia="宋体" w:hAnsi="宋体" w:hint="eastAsia"/>
          <w:sz w:val="16"/>
          <w:szCs w:val="16"/>
        </w:rPr>
        <w:t xml:space="preserve"> 的相似度，获取药物k靶向蛋白j的可能性</w:t>
      </w:r>
      <m:oMath>
        <m:sSub>
          <m:sSubPr>
            <m:ctrlPr>
              <w:rPr>
                <w:rFonts w:ascii="Cambria Math" w:eastAsia="宋体" w:hAnsi="Cambria Math"/>
                <w:i/>
                <w:iCs/>
                <w:sz w:val="16"/>
                <w:szCs w:val="16"/>
              </w:rPr>
            </m:ctrlPr>
          </m:sSubPr>
          <m:e>
            <m:r>
              <w:rPr>
                <w:rFonts w:ascii="Cambria Math" w:eastAsia="宋体" w:hAnsi="Cambria Math"/>
                <w:sz w:val="16"/>
                <w:szCs w:val="16"/>
              </w:rPr>
              <m:t>SCP</m:t>
            </m:r>
          </m:e>
          <m:sub>
            <m:r>
              <w:rPr>
                <w:rFonts w:ascii="Cambria Math" w:eastAsia="宋体" w:hAnsi="Cambria Math"/>
                <w:sz w:val="16"/>
                <w:szCs w:val="16"/>
              </w:rPr>
              <m:t>kj</m:t>
            </m:r>
          </m:sub>
        </m:sSub>
      </m:oMath>
    </w:p>
    <w:p w14:paraId="2059E984" w14:textId="2FCAF21C"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遵从蛋白质不相似规则及药物</w:t>
      </w:r>
      <w:proofErr w:type="gramStart"/>
      <w:r w:rsidRPr="00A00379">
        <w:rPr>
          <w:rFonts w:ascii="宋体" w:eastAsia="宋体" w:hAnsi="宋体" w:hint="eastAsia"/>
          <w:sz w:val="16"/>
          <w:szCs w:val="16"/>
        </w:rPr>
        <w:t>不</w:t>
      </w:r>
      <w:proofErr w:type="gramEnd"/>
      <w:r w:rsidRPr="00A00379">
        <w:rPr>
          <w:rFonts w:ascii="宋体" w:eastAsia="宋体" w:hAnsi="宋体" w:hint="eastAsia"/>
          <w:sz w:val="16"/>
          <w:szCs w:val="16"/>
        </w:rPr>
        <w:t>相似性规则，提出</w:t>
      </w:r>
      <m:oMath>
        <m:sSub>
          <m:sSubPr>
            <m:ctrlPr>
              <w:rPr>
                <w:rFonts w:ascii="Cambria Math" w:eastAsia="宋体" w:hAnsi="Cambria Math"/>
                <w:i/>
                <w:iCs/>
                <w:sz w:val="16"/>
                <w:szCs w:val="16"/>
              </w:rPr>
            </m:ctrlPr>
          </m:sSubPr>
          <m:e>
            <m:r>
              <w:rPr>
                <w:rFonts w:ascii="Cambria Math" w:eastAsia="宋体" w:hAnsi="Cambria Math"/>
                <w:sz w:val="16"/>
                <w:szCs w:val="16"/>
              </w:rPr>
              <m:t>d</m:t>
            </m:r>
          </m:e>
          <m:sub>
            <m:r>
              <w:rPr>
                <w:rFonts w:ascii="Cambria Math" w:eastAsia="宋体" w:hAnsi="Cambria Math"/>
                <w:sz w:val="16"/>
                <w:szCs w:val="16"/>
              </w:rPr>
              <m:t>kj</m:t>
            </m:r>
          </m:sub>
        </m:sSub>
        <m:r>
          <w:rPr>
            <w:rFonts w:ascii="Cambria Math" w:eastAsia="宋体" w:hAnsi="Cambria Math"/>
            <w:sz w:val="16"/>
            <w:szCs w:val="16"/>
          </w:rPr>
          <m:t>=</m:t>
        </m:r>
        <m:r>
          <m:rPr>
            <m:sty m:val="p"/>
          </m:rPr>
          <w:rPr>
            <w:rFonts w:ascii="Cambria Math" w:eastAsia="宋体" w:hAnsi="Cambria Math"/>
            <w:sz w:val="16"/>
            <w:szCs w:val="16"/>
          </w:rPr>
          <m:t>exp[-(</m:t>
        </m:r>
        <m:sSub>
          <m:sSubPr>
            <m:ctrlPr>
              <w:rPr>
                <w:rFonts w:ascii="Cambria Math" w:eastAsia="宋体" w:hAnsi="Cambria Math"/>
                <w:i/>
                <w:iCs/>
                <w:sz w:val="16"/>
                <w:szCs w:val="16"/>
              </w:rPr>
            </m:ctrlPr>
          </m:sSubPr>
          <m:e>
            <m:r>
              <w:rPr>
                <w:rFonts w:ascii="Cambria Math" w:eastAsia="宋体" w:hAnsi="Cambria Math"/>
                <w:sz w:val="16"/>
                <w:szCs w:val="16"/>
              </w:rPr>
              <m:t>SPC</m:t>
            </m:r>
          </m:e>
          <m:sub>
            <m:r>
              <w:rPr>
                <w:rFonts w:ascii="Cambria Math" w:eastAsia="宋体" w:hAnsi="Cambria Math"/>
                <w:sz w:val="16"/>
                <w:szCs w:val="16"/>
              </w:rPr>
              <m:t>jk</m:t>
            </m:r>
          </m:sub>
        </m:sSub>
        <m:r>
          <w:rPr>
            <w:rFonts w:ascii="Cambria Math" w:eastAsia="宋体" w:hAnsi="Cambria Math"/>
            <w:sz w:val="16"/>
            <w:szCs w:val="16"/>
          </w:rPr>
          <m:t>+</m:t>
        </m:r>
        <m:sSub>
          <m:sSubPr>
            <m:ctrlPr>
              <w:rPr>
                <w:rFonts w:ascii="Cambria Math" w:eastAsia="宋体" w:hAnsi="Cambria Math"/>
                <w:i/>
                <w:iCs/>
                <w:sz w:val="16"/>
                <w:szCs w:val="16"/>
              </w:rPr>
            </m:ctrlPr>
          </m:sSubPr>
          <m:e>
            <m:r>
              <w:rPr>
                <w:rFonts w:ascii="Cambria Math" w:eastAsia="宋体" w:hAnsi="Cambria Math"/>
                <w:sz w:val="16"/>
                <w:szCs w:val="16"/>
              </w:rPr>
              <m:t>SCP</m:t>
            </m:r>
          </m:e>
          <m:sub>
            <m:r>
              <w:rPr>
                <w:rFonts w:ascii="Cambria Math" w:eastAsia="宋体" w:hAnsi="Cambria Math"/>
                <w:sz w:val="16"/>
                <w:szCs w:val="16"/>
              </w:rPr>
              <m:t>kj</m:t>
            </m:r>
          </m:sub>
        </m:sSub>
        <m:r>
          <m:rPr>
            <m:sty m:val="p"/>
          </m:rPr>
          <w:rPr>
            <w:rFonts w:ascii="Cambria Math" w:eastAsia="宋体" w:hAnsi="Cambria Math"/>
            <w:sz w:val="16"/>
            <w:szCs w:val="16"/>
          </w:rPr>
          <m:t>)]</m:t>
        </m:r>
      </m:oMath>
      <w:r w:rsidRPr="00A00379">
        <w:rPr>
          <w:rFonts w:ascii="宋体" w:eastAsia="宋体" w:hAnsi="宋体" w:hint="eastAsia"/>
          <w:sz w:val="16"/>
          <w:szCs w:val="16"/>
        </w:rPr>
        <w:t>，(A+B)互相作用的可能性值越低，该对作为负样本的评分就越高。</w:t>
      </w:r>
    </w:p>
    <w:p w14:paraId="34603423"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已有研究表明，化合物之间</w:t>
      </w:r>
      <w:proofErr w:type="gramStart"/>
      <w:r w:rsidRPr="00A00379">
        <w:rPr>
          <w:rFonts w:ascii="宋体" w:eastAsia="宋体" w:hAnsi="宋体" w:hint="eastAsia"/>
          <w:sz w:val="16"/>
          <w:szCs w:val="16"/>
        </w:rPr>
        <w:t>即便具有</w:t>
      </w:r>
      <w:proofErr w:type="gramEnd"/>
      <w:r w:rsidRPr="00A00379">
        <w:rPr>
          <w:rFonts w:ascii="宋体" w:eastAsia="宋体" w:hAnsi="宋体" w:hint="eastAsia"/>
          <w:sz w:val="16"/>
          <w:szCs w:val="16"/>
        </w:rPr>
        <w:t>高度相似的结构，也可能表现出截然不同的生物活性（即“活性断崖”现象），</w:t>
      </w:r>
    </w:p>
    <w:p w14:paraId="69BCEB9E"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反之亦然，不同骨架的化合物也可能靶向同一类蛋白（即“骨架跳跃”） 。</w:t>
      </w:r>
    </w:p>
    <w:p w14:paraId="0FA8027D"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这说明单一特征维度上的相似性不足以准确判断分子功能的异同。因此，</w:t>
      </w:r>
    </w:p>
    <w:p w14:paraId="3B743314"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在基于蛋白质或化合物“不相似性”筛选负样本时，必须充分考虑样本中信息维度的多样性与覆盖度。</w:t>
      </w:r>
      <w:r w:rsidRPr="00A00379">
        <w:rPr>
          <w:rFonts w:ascii="宋体" w:eastAsia="宋体" w:hAnsi="宋体" w:hint="eastAsia"/>
          <w:sz w:val="16"/>
          <w:szCs w:val="16"/>
        </w:rPr>
        <w:br/>
        <w:t>将得分最高的一部分cp对，根据特征差异筛选。(1)覆盖度方面：计算使用的已知相互作用的置信度次数至少为15,</w:t>
      </w:r>
    </w:p>
    <w:p w14:paraId="73D84C8C"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(2)多样性方面：负样本的可信度应与其所涉及已知交互分子(C或P)的特征差异性成正相关 根本原因是 知道的越多，越</w:t>
      </w:r>
      <w:proofErr w:type="gramStart"/>
      <w:r w:rsidRPr="00A00379">
        <w:rPr>
          <w:rFonts w:ascii="宋体" w:eastAsia="宋体" w:hAnsi="宋体" w:hint="eastAsia"/>
          <w:sz w:val="16"/>
          <w:szCs w:val="16"/>
        </w:rPr>
        <w:t>”</w:t>
      </w:r>
      <w:proofErr w:type="gramEnd"/>
      <w:r w:rsidRPr="00A00379">
        <w:rPr>
          <w:rFonts w:ascii="宋体" w:eastAsia="宋体" w:hAnsi="宋体" w:hint="eastAsia"/>
          <w:sz w:val="16"/>
          <w:szCs w:val="16"/>
        </w:rPr>
        <w:t>确定</w:t>
      </w:r>
      <w:proofErr w:type="gramStart"/>
      <w:r w:rsidRPr="00A00379">
        <w:rPr>
          <w:rFonts w:ascii="宋体" w:eastAsia="宋体" w:hAnsi="宋体" w:hint="eastAsia"/>
          <w:sz w:val="16"/>
          <w:szCs w:val="16"/>
        </w:rPr>
        <w:t>”</w:t>
      </w:r>
      <w:proofErr w:type="gramEnd"/>
      <w:r w:rsidRPr="00A00379">
        <w:rPr>
          <w:rFonts w:ascii="宋体" w:eastAsia="宋体" w:hAnsi="宋体" w:hint="eastAsia"/>
          <w:sz w:val="16"/>
          <w:szCs w:val="16"/>
        </w:rPr>
        <w:t>不知道什么。</w:t>
      </w:r>
    </w:p>
    <w:p w14:paraId="4BFD7F3C"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基于全体药物（或蛋白质）间的相似性方差设定为总体方差基准，利用方差的假设检验方法（以0.05为显著性水平）</w:t>
      </w:r>
    </w:p>
    <w:p w14:paraId="072AC8FC" w14:textId="35E1F932" w:rsidR="00CD3DFE" w:rsidRPr="002C005D"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检验候选样本是否存在显著更高的差异性。满足条件的样本被保留为高可信度负样本。</w:t>
      </w:r>
      <w:r w:rsidRPr="00A00379">
        <w:rPr>
          <w:rFonts w:ascii="宋体" w:eastAsia="宋体" w:hAnsi="宋体" w:hint="eastAsia"/>
          <w:sz w:val="16"/>
          <w:szCs w:val="16"/>
        </w:rPr>
        <w:br/>
        <w:t>单样本t检验</w:t>
      </w:r>
    </w:p>
    <w:p w14:paraId="5EA76677" w14:textId="73236403" w:rsidR="00A00379" w:rsidRPr="002C005D" w:rsidRDefault="00A00379" w:rsidP="002C005D">
      <w:pPr>
        <w:spacing w:after="0" w:line="240" w:lineRule="auto"/>
        <w:ind w:firstLineChars="200" w:firstLine="321"/>
        <w:jc w:val="both"/>
        <w:rPr>
          <w:rFonts w:ascii="宋体" w:eastAsia="宋体" w:hAnsi="宋体"/>
          <w:sz w:val="16"/>
          <w:szCs w:val="16"/>
        </w:rPr>
      </w:pPr>
      <w:r w:rsidRPr="00B511B5">
        <w:rPr>
          <w:rFonts w:ascii="宋体" w:eastAsia="宋体" w:hAnsi="宋体" w:hint="eastAsia"/>
          <w:b/>
          <w:bCs/>
          <w:sz w:val="16"/>
          <w:szCs w:val="16"/>
          <w:highlight w:val="yellow"/>
        </w:rPr>
        <w:t>17.</w:t>
      </w:r>
      <w:r w:rsidRPr="002C005D">
        <w:rPr>
          <w:rFonts w:ascii="宋体" w:eastAsia="宋体" w:hAnsi="宋体" w:cs="Times New Roman" w:hint="eastAsia"/>
          <w:color w:val="000000" w:themeColor="text1"/>
          <w:kern w:val="24"/>
          <w:sz w:val="16"/>
          <w:szCs w:val="16"/>
          <w14:ligatures w14:val="none"/>
        </w:rPr>
        <w:t xml:space="preserve"> </w:t>
      </w:r>
      <w:r w:rsidRPr="002C005D">
        <w:rPr>
          <w:rFonts w:ascii="宋体" w:eastAsia="宋体" w:hAnsi="宋体" w:hint="eastAsia"/>
          <w:sz w:val="16"/>
          <w:szCs w:val="16"/>
        </w:rPr>
        <w:t>技术路线如图，</w:t>
      </w:r>
    </w:p>
    <w:p w14:paraId="5712DDE3"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蛋白质的特征信息可以通过工具包</w:t>
      </w:r>
      <w:proofErr w:type="spellStart"/>
      <w:r w:rsidRPr="00A00379">
        <w:rPr>
          <w:rFonts w:ascii="宋体" w:eastAsia="宋体" w:hAnsi="宋体" w:hint="eastAsia"/>
          <w:sz w:val="16"/>
          <w:szCs w:val="16"/>
        </w:rPr>
        <w:t>MDAnalysis</w:t>
      </w:r>
      <w:proofErr w:type="spellEnd"/>
      <w:r w:rsidRPr="00A00379">
        <w:rPr>
          <w:rFonts w:ascii="宋体" w:eastAsia="宋体" w:hAnsi="宋体" w:hint="eastAsia"/>
          <w:sz w:val="16"/>
          <w:szCs w:val="16"/>
        </w:rPr>
        <w:t>获取。</w:t>
      </w:r>
      <w:r w:rsidRPr="00A00379">
        <w:rPr>
          <w:rFonts w:ascii="宋体" w:eastAsia="宋体" w:hAnsi="宋体" w:hint="eastAsia"/>
          <w:sz w:val="16"/>
          <w:szCs w:val="16"/>
        </w:rPr>
        <w:br/>
        <w:t>药物分子的特征信息可以通过化学工具包</w:t>
      </w:r>
      <w:proofErr w:type="spellStart"/>
      <w:r w:rsidRPr="00A00379">
        <w:rPr>
          <w:rFonts w:ascii="宋体" w:eastAsia="宋体" w:hAnsi="宋体" w:hint="eastAsia"/>
          <w:sz w:val="16"/>
          <w:szCs w:val="16"/>
        </w:rPr>
        <w:t>rdkit</w:t>
      </w:r>
      <w:proofErr w:type="spellEnd"/>
      <w:r w:rsidRPr="00A00379">
        <w:rPr>
          <w:rFonts w:ascii="宋体" w:eastAsia="宋体" w:hAnsi="宋体" w:hint="eastAsia"/>
          <w:sz w:val="16"/>
          <w:szCs w:val="16"/>
        </w:rPr>
        <w:t>获取。</w:t>
      </w:r>
    </w:p>
    <w:p w14:paraId="09D73492" w14:textId="77777777"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使用</w:t>
      </w:r>
      <w:proofErr w:type="spellStart"/>
      <w:r w:rsidRPr="00A00379">
        <w:rPr>
          <w:rFonts w:ascii="宋体" w:eastAsia="宋体" w:hAnsi="宋体" w:hint="eastAsia"/>
          <w:sz w:val="16"/>
          <w:szCs w:val="16"/>
        </w:rPr>
        <w:t>dgl</w:t>
      </w:r>
      <w:proofErr w:type="spellEnd"/>
      <w:r w:rsidRPr="00A00379">
        <w:rPr>
          <w:rFonts w:ascii="宋体" w:eastAsia="宋体" w:hAnsi="宋体" w:hint="eastAsia"/>
          <w:sz w:val="16"/>
          <w:szCs w:val="16"/>
        </w:rPr>
        <w:t>库</w:t>
      </w:r>
      <w:proofErr w:type="gramStart"/>
      <w:r w:rsidRPr="00A00379">
        <w:rPr>
          <w:rFonts w:ascii="宋体" w:eastAsia="宋体" w:hAnsi="宋体" w:hint="eastAsia"/>
          <w:sz w:val="16"/>
          <w:szCs w:val="16"/>
        </w:rPr>
        <w:t>构建图</w:t>
      </w:r>
      <w:proofErr w:type="gramEnd"/>
      <w:r w:rsidRPr="00A00379">
        <w:rPr>
          <w:rFonts w:ascii="宋体" w:eastAsia="宋体" w:hAnsi="宋体" w:hint="eastAsia"/>
          <w:sz w:val="16"/>
          <w:szCs w:val="16"/>
        </w:rPr>
        <w:t>结构。</w:t>
      </w:r>
      <w:r w:rsidRPr="00A00379">
        <w:rPr>
          <w:rFonts w:ascii="宋体" w:eastAsia="宋体" w:hAnsi="宋体" w:hint="eastAsia"/>
          <w:sz w:val="16"/>
          <w:szCs w:val="16"/>
        </w:rPr>
        <w:br/>
        <w:t>原始序列嵌入长度若小于残基数，则使用零填充至相同长度，若超过残基数，则截断多余部分</w:t>
      </w:r>
    </w:p>
    <w:p w14:paraId="2008761F" w14:textId="4DD144D1" w:rsidR="00A00379" w:rsidRPr="00A00379" w:rsidRDefault="00A00379" w:rsidP="002C005D">
      <w:pPr>
        <w:spacing w:after="0" w:line="240" w:lineRule="auto"/>
        <w:ind w:firstLineChars="200" w:firstLine="320"/>
        <w:jc w:val="both"/>
        <w:rPr>
          <w:rFonts w:ascii="宋体" w:eastAsia="宋体" w:hAnsi="宋体"/>
          <w:sz w:val="16"/>
          <w:szCs w:val="16"/>
        </w:rPr>
      </w:pPr>
      <w:r w:rsidRPr="00A00379">
        <w:rPr>
          <w:rFonts w:ascii="宋体" w:eastAsia="宋体" w:hAnsi="宋体" w:hint="eastAsia"/>
          <w:sz w:val="16"/>
          <w:szCs w:val="16"/>
        </w:rPr>
        <w:t>(每个序列嵌入</w:t>
      </w:r>
      <w:proofErr w:type="gramStart"/>
      <w:r w:rsidRPr="00A00379">
        <w:rPr>
          <w:rFonts w:ascii="宋体" w:eastAsia="宋体" w:hAnsi="宋体" w:hint="eastAsia"/>
          <w:sz w:val="16"/>
          <w:szCs w:val="16"/>
        </w:rPr>
        <w:t>由预训练</w:t>
      </w:r>
      <w:proofErr w:type="gramEnd"/>
      <w:r w:rsidRPr="00A00379">
        <w:rPr>
          <w:rFonts w:ascii="宋体" w:eastAsia="宋体" w:hAnsi="宋体" w:hint="eastAsia"/>
          <w:sz w:val="16"/>
          <w:szCs w:val="16"/>
        </w:rPr>
        <w:t>大模型编码，其中每个嵌入向量都带有上下文信息，因此认为截断后的嵌入也具有全局信息)</w:t>
      </w:r>
      <w:r w:rsidRPr="00A00379">
        <w:rPr>
          <w:rFonts w:ascii="宋体" w:eastAsia="宋体" w:hAnsi="宋体" w:hint="eastAsia"/>
          <w:sz w:val="16"/>
          <w:szCs w:val="16"/>
        </w:rPr>
        <w:br/>
        <w:t>Batch=16中的所有残基数统一为该Batch中最大数量的残基数，</w:t>
      </w:r>
      <w:proofErr w:type="gramStart"/>
      <w:r w:rsidRPr="00A00379">
        <w:rPr>
          <w:rFonts w:ascii="宋体" w:eastAsia="宋体" w:hAnsi="宋体" w:hint="eastAsia"/>
          <w:sz w:val="16"/>
          <w:szCs w:val="16"/>
        </w:rPr>
        <w:t>不足则零填充</w:t>
      </w:r>
      <w:proofErr w:type="gramEnd"/>
      <w:r w:rsidRPr="00A00379">
        <w:rPr>
          <w:rFonts w:ascii="宋体" w:eastAsia="宋体" w:hAnsi="宋体" w:hint="eastAsia"/>
          <w:sz w:val="16"/>
          <w:szCs w:val="16"/>
        </w:rPr>
        <w:t>。</w:t>
      </w:r>
      <w:r w:rsidRPr="00A00379">
        <w:rPr>
          <w:rFonts w:ascii="宋体" w:eastAsia="宋体" w:hAnsi="宋体" w:hint="eastAsia"/>
          <w:sz w:val="16"/>
          <w:szCs w:val="16"/>
        </w:rPr>
        <w:br/>
        <w:t>此外，不相同的编码维</w:t>
      </w:r>
      <w:proofErr w:type="gramStart"/>
      <w:r w:rsidRPr="00A00379">
        <w:rPr>
          <w:rFonts w:ascii="宋体" w:eastAsia="宋体" w:hAnsi="宋体" w:hint="eastAsia"/>
          <w:sz w:val="16"/>
          <w:szCs w:val="16"/>
        </w:rPr>
        <w:t>度经过</w:t>
      </w:r>
      <w:proofErr w:type="gramEnd"/>
      <w:r w:rsidRPr="00A00379">
        <w:rPr>
          <w:rFonts w:ascii="宋体" w:eastAsia="宋体" w:hAnsi="宋体" w:hint="eastAsia"/>
          <w:sz w:val="16"/>
          <w:szCs w:val="16"/>
        </w:rPr>
        <w:t>线性映射后统一为</w:t>
      </w:r>
      <m:oMath>
        <m:sSub>
          <m:sSubPr>
            <m:ctrlPr>
              <w:rPr>
                <w:rFonts w:ascii="Cambria Math" w:eastAsia="宋体" w:hAnsi="Cambria Math"/>
                <w:i/>
                <w:iCs/>
                <w:sz w:val="16"/>
                <w:szCs w:val="16"/>
              </w:rPr>
            </m:ctrlPr>
          </m:sSubPr>
          <m:e>
            <m:r>
              <w:rPr>
                <w:rFonts w:ascii="Cambria Math" w:eastAsia="宋体" w:hAnsi="Cambria Math"/>
                <w:sz w:val="16"/>
                <w:szCs w:val="16"/>
              </w:rPr>
              <m:t>d</m:t>
            </m:r>
          </m:e>
          <m:sub>
            <m:r>
              <w:rPr>
                <w:rFonts w:ascii="Cambria Math" w:eastAsia="宋体" w:hAnsi="Cambria Math"/>
                <w:sz w:val="16"/>
                <w:szCs w:val="16"/>
              </w:rPr>
              <m:t>p</m:t>
            </m:r>
          </m:sub>
        </m:sSub>
      </m:oMath>
    </w:p>
    <w:p w14:paraId="0AF40B4A" w14:textId="5EDC8FC4" w:rsidR="005D7AF7" w:rsidRPr="002C005D" w:rsidRDefault="005D7AF7" w:rsidP="002C005D">
      <w:pPr>
        <w:spacing w:after="0" w:line="240" w:lineRule="auto"/>
        <w:ind w:firstLineChars="200" w:firstLine="321"/>
        <w:jc w:val="both"/>
        <w:rPr>
          <w:rFonts w:ascii="宋体" w:eastAsia="宋体" w:hAnsi="宋体"/>
          <w:sz w:val="16"/>
          <w:szCs w:val="16"/>
        </w:rPr>
      </w:pPr>
      <w:r w:rsidRPr="00B511B5">
        <w:rPr>
          <w:rFonts w:ascii="宋体" w:eastAsia="宋体" w:hAnsi="宋体" w:hint="eastAsia"/>
          <w:b/>
          <w:bCs/>
          <w:sz w:val="16"/>
          <w:szCs w:val="16"/>
          <w:highlight w:val="yellow"/>
        </w:rPr>
        <w:t>18.</w:t>
      </w:r>
      <w:r w:rsidRPr="002C005D">
        <w:rPr>
          <w:rFonts w:ascii="宋体" w:eastAsia="宋体" w:hAnsi="宋体" w:cs="Times New Roman" w:hint="eastAsia"/>
          <w:color w:val="000000" w:themeColor="text1"/>
          <w:kern w:val="24"/>
          <w:sz w:val="16"/>
          <w:szCs w:val="16"/>
          <w14:ligatures w14:val="none"/>
        </w:rPr>
        <w:t xml:space="preserve"> </w:t>
      </w:r>
      <w:r w:rsidRPr="002C005D">
        <w:rPr>
          <w:rFonts w:ascii="宋体" w:eastAsia="宋体" w:hAnsi="宋体" w:hint="eastAsia"/>
          <w:sz w:val="16"/>
          <w:szCs w:val="16"/>
        </w:rPr>
        <w:t>技术路线如图，</w:t>
      </w:r>
      <w:r w:rsidRPr="002C005D">
        <w:rPr>
          <w:rFonts w:ascii="宋体" w:eastAsia="宋体" w:hAnsi="宋体" w:hint="eastAsia"/>
          <w:sz w:val="16"/>
          <w:szCs w:val="16"/>
        </w:rPr>
        <w:br/>
        <w:t xml:space="preserve">线性融合为单头矩阵，[加权融合（权重向量）]引入一个可学习的参数 w ∈ [H]，对每个头加权求和： </w:t>
      </w:r>
      <w:r w:rsidRPr="002C005D">
        <w:rPr>
          <w:rFonts w:ascii="宋体" w:eastAsia="宋体" w:hAnsi="宋体" w:hint="eastAsia"/>
          <w:sz w:val="16"/>
          <w:szCs w:val="16"/>
        </w:rPr>
        <w:br/>
      </w:r>
      <w:proofErr w:type="spellStart"/>
      <w:r w:rsidRPr="002C005D">
        <w:rPr>
          <w:rFonts w:ascii="宋体" w:eastAsia="宋体" w:hAnsi="宋体" w:hint="eastAsia"/>
          <w:sz w:val="16"/>
          <w:szCs w:val="16"/>
        </w:rPr>
        <w:t>self.head_weights</w:t>
      </w:r>
      <w:proofErr w:type="spellEnd"/>
      <w:r w:rsidRPr="002C005D">
        <w:rPr>
          <w:rFonts w:ascii="宋体" w:eastAsia="宋体" w:hAnsi="宋体" w:hint="eastAsia"/>
          <w:sz w:val="16"/>
          <w:szCs w:val="16"/>
        </w:rPr>
        <w:t xml:space="preserve"> = </w:t>
      </w:r>
      <w:proofErr w:type="spellStart"/>
      <w:r w:rsidRPr="002C005D">
        <w:rPr>
          <w:rFonts w:ascii="宋体" w:eastAsia="宋体" w:hAnsi="宋体" w:hint="eastAsia"/>
          <w:sz w:val="16"/>
          <w:szCs w:val="16"/>
        </w:rPr>
        <w:t>nn.Parameter</w:t>
      </w:r>
      <w:proofErr w:type="spellEnd"/>
      <w:r w:rsidRPr="002C005D">
        <w:rPr>
          <w:rFonts w:ascii="宋体" w:eastAsia="宋体" w:hAnsi="宋体" w:hint="eastAsia"/>
          <w:sz w:val="16"/>
          <w:szCs w:val="16"/>
        </w:rPr>
        <w:t>(</w:t>
      </w:r>
      <w:proofErr w:type="spellStart"/>
      <w:r w:rsidRPr="002C005D">
        <w:rPr>
          <w:rFonts w:ascii="宋体" w:eastAsia="宋体" w:hAnsi="宋体" w:hint="eastAsia"/>
          <w:sz w:val="16"/>
          <w:szCs w:val="16"/>
        </w:rPr>
        <w:t>torch.ones</w:t>
      </w:r>
      <w:proofErr w:type="spellEnd"/>
      <w:r w:rsidRPr="002C005D">
        <w:rPr>
          <w:rFonts w:ascii="宋体" w:eastAsia="宋体" w:hAnsi="宋体" w:hint="eastAsia"/>
          <w:sz w:val="16"/>
          <w:szCs w:val="16"/>
        </w:rPr>
        <w:t xml:space="preserve">(H) / H) </w:t>
      </w:r>
      <w:r w:rsidRPr="002C005D">
        <w:rPr>
          <w:rFonts w:ascii="宋体" w:eastAsia="宋体" w:hAnsi="宋体" w:hint="eastAsia"/>
          <w:sz w:val="16"/>
          <w:szCs w:val="16"/>
        </w:rPr>
        <w:br/>
      </w:r>
      <w:proofErr w:type="spellStart"/>
      <w:r w:rsidRPr="002C005D">
        <w:rPr>
          <w:rFonts w:ascii="宋体" w:eastAsia="宋体" w:hAnsi="宋体" w:hint="eastAsia"/>
          <w:sz w:val="16"/>
          <w:szCs w:val="16"/>
        </w:rPr>
        <w:t>M_att</w:t>
      </w:r>
      <w:proofErr w:type="spellEnd"/>
      <w:r w:rsidRPr="002C005D">
        <w:rPr>
          <w:rFonts w:ascii="宋体" w:eastAsia="宋体" w:hAnsi="宋体" w:hint="eastAsia"/>
          <w:sz w:val="16"/>
          <w:szCs w:val="16"/>
        </w:rPr>
        <w:t xml:space="preserve"> = </w:t>
      </w:r>
      <w:proofErr w:type="spellStart"/>
      <w:r w:rsidRPr="002C005D">
        <w:rPr>
          <w:rFonts w:ascii="宋体" w:eastAsia="宋体" w:hAnsi="宋体" w:hint="eastAsia"/>
          <w:sz w:val="16"/>
          <w:szCs w:val="16"/>
        </w:rPr>
        <w:t>torch.einsum</w:t>
      </w:r>
      <w:proofErr w:type="spellEnd"/>
      <w:r w:rsidRPr="002C005D">
        <w:rPr>
          <w:rFonts w:ascii="宋体" w:eastAsia="宋体" w:hAnsi="宋体" w:hint="eastAsia"/>
          <w:sz w:val="16"/>
          <w:szCs w:val="16"/>
        </w:rPr>
        <w:t>('</w:t>
      </w:r>
      <w:proofErr w:type="spellStart"/>
      <w:r w:rsidRPr="002C005D">
        <w:rPr>
          <w:rFonts w:ascii="宋体" w:eastAsia="宋体" w:hAnsi="宋体" w:hint="eastAsia"/>
          <w:sz w:val="16"/>
          <w:szCs w:val="16"/>
        </w:rPr>
        <w:t>bhij,h</w:t>
      </w:r>
      <w:proofErr w:type="spellEnd"/>
      <w:r w:rsidRPr="002C005D">
        <w:rPr>
          <w:rFonts w:ascii="宋体" w:eastAsia="宋体" w:hAnsi="宋体" w:hint="eastAsia"/>
          <w:sz w:val="16"/>
          <w:szCs w:val="16"/>
        </w:rPr>
        <w:t>-&gt;</w:t>
      </w:r>
      <w:proofErr w:type="spellStart"/>
      <w:r w:rsidRPr="002C005D">
        <w:rPr>
          <w:rFonts w:ascii="宋体" w:eastAsia="宋体" w:hAnsi="宋体" w:hint="eastAsia"/>
          <w:sz w:val="16"/>
          <w:szCs w:val="16"/>
        </w:rPr>
        <w:t>bij</w:t>
      </w:r>
      <w:proofErr w:type="spellEnd"/>
      <w:r w:rsidRPr="002C005D">
        <w:rPr>
          <w:rFonts w:ascii="宋体" w:eastAsia="宋体" w:hAnsi="宋体" w:hint="eastAsia"/>
          <w:sz w:val="16"/>
          <w:szCs w:val="16"/>
        </w:rPr>
        <w:t xml:space="preserve">', A, </w:t>
      </w:r>
      <w:proofErr w:type="spellStart"/>
      <w:r w:rsidRPr="002C005D">
        <w:rPr>
          <w:rFonts w:ascii="宋体" w:eastAsia="宋体" w:hAnsi="宋体" w:hint="eastAsia"/>
          <w:sz w:val="16"/>
          <w:szCs w:val="16"/>
        </w:rPr>
        <w:t>self.head_weights</w:t>
      </w:r>
      <w:proofErr w:type="spellEnd"/>
      <w:r w:rsidRPr="002C005D">
        <w:rPr>
          <w:rFonts w:ascii="宋体" w:eastAsia="宋体" w:hAnsi="宋体" w:hint="eastAsia"/>
          <w:sz w:val="16"/>
          <w:szCs w:val="16"/>
        </w:rPr>
        <w:t>) # 初始化为均匀# → [B, 103, 80]</w:t>
      </w:r>
      <w:r w:rsidRPr="002C005D">
        <w:rPr>
          <w:rFonts w:ascii="宋体" w:eastAsia="宋体" w:hAnsi="宋体" w:hint="eastAsia"/>
          <w:sz w:val="16"/>
          <w:szCs w:val="16"/>
        </w:rPr>
        <w:br/>
        <w:t xml:space="preserve">获取每个残基的整体解释权重（对原子求和） </w:t>
      </w:r>
      <w:r w:rsidRPr="002C005D">
        <w:rPr>
          <w:rFonts w:ascii="宋体" w:eastAsia="宋体" w:hAnsi="宋体" w:hint="eastAsia"/>
          <w:sz w:val="16"/>
          <w:szCs w:val="16"/>
          <w:lang w:val="pt-BR"/>
        </w:rPr>
        <w:t>atom</w:t>
      </w:r>
      <w:r w:rsidRPr="002C005D">
        <w:rPr>
          <w:rFonts w:ascii="宋体" w:eastAsia="宋体" w:hAnsi="宋体" w:hint="eastAsia"/>
          <w:sz w:val="16"/>
          <w:szCs w:val="16"/>
        </w:rPr>
        <w:t>residue</w:t>
      </w:r>
      <w:r w:rsidRPr="002C005D">
        <w:rPr>
          <w:rFonts w:ascii="宋体" w:eastAsia="宋体" w:hAnsi="宋体" w:hint="eastAsia"/>
          <w:sz w:val="16"/>
          <w:szCs w:val="16"/>
          <w:lang w:val="pt-BR"/>
        </w:rPr>
        <w:t>_scores = M_att.sum(dim=2)  # → [B, 103]</w:t>
      </w:r>
      <w:r w:rsidRPr="002C005D">
        <w:rPr>
          <w:rFonts w:ascii="宋体" w:eastAsia="宋体" w:hAnsi="宋体" w:hint="eastAsia"/>
          <w:sz w:val="16"/>
          <w:szCs w:val="16"/>
          <w:lang w:val="pt-BR"/>
        </w:rPr>
        <w:br/>
      </w:r>
      <w:r w:rsidRPr="002C005D">
        <w:rPr>
          <w:rFonts w:ascii="宋体" w:eastAsia="宋体" w:hAnsi="宋体" w:hint="eastAsia"/>
          <w:sz w:val="16"/>
          <w:szCs w:val="16"/>
        </w:rPr>
        <w:t xml:space="preserve">表示：第 </w:t>
      </w:r>
      <w:proofErr w:type="spellStart"/>
      <w:r w:rsidRPr="002C005D">
        <w:rPr>
          <w:rFonts w:ascii="宋体" w:eastAsia="宋体" w:hAnsi="宋体" w:hint="eastAsia"/>
          <w:sz w:val="16"/>
          <w:szCs w:val="16"/>
        </w:rPr>
        <w:t>i</w:t>
      </w:r>
      <w:proofErr w:type="spellEnd"/>
      <w:r w:rsidRPr="002C005D">
        <w:rPr>
          <w:rFonts w:ascii="宋体" w:eastAsia="宋体" w:hAnsi="宋体" w:hint="eastAsia"/>
          <w:sz w:val="16"/>
          <w:szCs w:val="16"/>
        </w:rPr>
        <w:t xml:space="preserve"> </w:t>
      </w:r>
      <w:proofErr w:type="gramStart"/>
      <w:r w:rsidRPr="002C005D">
        <w:rPr>
          <w:rFonts w:ascii="宋体" w:eastAsia="宋体" w:hAnsi="宋体" w:hint="eastAsia"/>
          <w:sz w:val="16"/>
          <w:szCs w:val="16"/>
        </w:rPr>
        <w:t>个</w:t>
      </w:r>
      <w:proofErr w:type="gramEnd"/>
      <w:r w:rsidRPr="002C005D">
        <w:rPr>
          <w:rFonts w:ascii="宋体" w:eastAsia="宋体" w:hAnsi="宋体" w:hint="eastAsia"/>
          <w:sz w:val="16"/>
          <w:szCs w:val="16"/>
        </w:rPr>
        <w:t>残基对整个药物的关注总和（可作为残基重要性解释）</w:t>
      </w:r>
      <w:r w:rsidRPr="002C005D">
        <w:rPr>
          <w:rFonts w:ascii="宋体" w:eastAsia="宋体" w:hAnsi="宋体" w:hint="eastAsia"/>
          <w:sz w:val="16"/>
          <w:szCs w:val="16"/>
        </w:rPr>
        <w:br/>
        <w:t>获取每个原子的整体解释权重（对残基求和）</w:t>
      </w:r>
      <w:r w:rsidRPr="002C005D">
        <w:rPr>
          <w:rFonts w:ascii="宋体" w:eastAsia="宋体" w:hAnsi="宋体" w:hint="eastAsia"/>
          <w:sz w:val="16"/>
          <w:szCs w:val="16"/>
        </w:rPr>
        <w:br/>
        <w:t xml:space="preserve"> </w:t>
      </w:r>
      <w:r w:rsidRPr="002C005D">
        <w:rPr>
          <w:rFonts w:ascii="宋体" w:eastAsia="宋体" w:hAnsi="宋体" w:hint="eastAsia"/>
          <w:sz w:val="16"/>
          <w:szCs w:val="16"/>
          <w:lang w:val="pt-BR"/>
        </w:rPr>
        <w:t>atom</w:t>
      </w:r>
      <w:r w:rsidRPr="002C005D">
        <w:rPr>
          <w:rFonts w:ascii="宋体" w:eastAsia="宋体" w:hAnsi="宋体" w:hint="eastAsia"/>
          <w:sz w:val="16"/>
          <w:szCs w:val="16"/>
        </w:rPr>
        <w:t xml:space="preserve">_scores = </w:t>
      </w:r>
      <w:proofErr w:type="spellStart"/>
      <w:r w:rsidRPr="002C005D">
        <w:rPr>
          <w:rFonts w:ascii="宋体" w:eastAsia="宋体" w:hAnsi="宋体" w:hint="eastAsia"/>
          <w:sz w:val="16"/>
          <w:szCs w:val="16"/>
        </w:rPr>
        <w:t>M_att.sum</w:t>
      </w:r>
      <w:proofErr w:type="spellEnd"/>
      <w:r w:rsidRPr="002C005D">
        <w:rPr>
          <w:rFonts w:ascii="宋体" w:eastAsia="宋体" w:hAnsi="宋体" w:hint="eastAsia"/>
          <w:sz w:val="16"/>
          <w:szCs w:val="16"/>
        </w:rPr>
        <w:t>(dim=1)  # → [B, 80]表示：</w:t>
      </w:r>
    </w:p>
    <w:p w14:paraId="4F61CDB4" w14:textId="77777777" w:rsidR="005D7AF7" w:rsidRPr="005D7AF7" w:rsidRDefault="005D7AF7" w:rsidP="002C005D">
      <w:pPr>
        <w:spacing w:after="0" w:line="240" w:lineRule="auto"/>
        <w:ind w:firstLineChars="200" w:firstLine="320"/>
        <w:jc w:val="both"/>
        <w:rPr>
          <w:rFonts w:ascii="宋体" w:eastAsia="宋体" w:hAnsi="宋体"/>
          <w:sz w:val="16"/>
          <w:szCs w:val="16"/>
        </w:rPr>
      </w:pPr>
      <w:r w:rsidRPr="005D7AF7">
        <w:rPr>
          <w:rFonts w:ascii="宋体" w:eastAsia="宋体" w:hAnsi="宋体" w:hint="eastAsia"/>
          <w:sz w:val="16"/>
          <w:szCs w:val="16"/>
        </w:rPr>
        <w:t xml:space="preserve">第 j </w:t>
      </w:r>
      <w:proofErr w:type="gramStart"/>
      <w:r w:rsidRPr="005D7AF7">
        <w:rPr>
          <w:rFonts w:ascii="宋体" w:eastAsia="宋体" w:hAnsi="宋体" w:hint="eastAsia"/>
          <w:sz w:val="16"/>
          <w:szCs w:val="16"/>
        </w:rPr>
        <w:t>个</w:t>
      </w:r>
      <w:proofErr w:type="gramEnd"/>
      <w:r w:rsidRPr="005D7AF7">
        <w:rPr>
          <w:rFonts w:ascii="宋体" w:eastAsia="宋体" w:hAnsi="宋体" w:hint="eastAsia"/>
          <w:sz w:val="16"/>
          <w:szCs w:val="16"/>
        </w:rPr>
        <w:t>原子被所有蛋白残基关注的强度（可作为原子解释热图）</w:t>
      </w:r>
      <w:r w:rsidRPr="005D7AF7">
        <w:rPr>
          <w:rFonts w:ascii="宋体" w:eastAsia="宋体" w:hAnsi="宋体" w:hint="eastAsia"/>
          <w:sz w:val="16"/>
          <w:szCs w:val="16"/>
        </w:rPr>
        <w:br/>
        <w:t>额外，用 MLP 进一步映射解释权重（比如输出 0-1）</w:t>
      </w:r>
    </w:p>
    <w:p w14:paraId="1ED3063D" w14:textId="317AE886" w:rsidR="009A383C" w:rsidRPr="002C005D" w:rsidRDefault="009A383C" w:rsidP="002C005D">
      <w:pPr>
        <w:spacing w:after="0" w:line="240" w:lineRule="auto"/>
        <w:ind w:firstLineChars="200" w:firstLine="321"/>
        <w:jc w:val="both"/>
        <w:rPr>
          <w:rFonts w:ascii="宋体" w:eastAsia="宋体" w:hAnsi="宋体"/>
          <w:sz w:val="16"/>
          <w:szCs w:val="16"/>
        </w:rPr>
      </w:pPr>
      <w:r w:rsidRPr="00B511B5">
        <w:rPr>
          <w:rFonts w:ascii="宋体" w:eastAsia="宋体" w:hAnsi="宋体" w:hint="eastAsia"/>
          <w:b/>
          <w:bCs/>
          <w:sz w:val="16"/>
          <w:szCs w:val="16"/>
          <w:highlight w:val="yellow"/>
        </w:rPr>
        <w:t>19.</w:t>
      </w:r>
      <w:r w:rsidRPr="002C005D">
        <w:rPr>
          <w:rFonts w:ascii="宋体" w:eastAsia="宋体" w:hAnsi="宋体" w:hint="eastAsia"/>
          <w:b/>
          <w:bCs/>
          <w:color w:val="000000" w:themeColor="text1"/>
          <w:kern w:val="24"/>
          <w:sz w:val="16"/>
          <w:szCs w:val="16"/>
          <w14:ligatures w14:val="none"/>
        </w:rPr>
        <w:t xml:space="preserve"> </w:t>
      </w:r>
      <w:r w:rsidRPr="002C005D">
        <w:rPr>
          <w:rFonts w:ascii="宋体" w:eastAsia="宋体" w:hAnsi="宋体" w:hint="eastAsia"/>
          <w:b/>
          <w:bCs/>
          <w:sz w:val="16"/>
          <w:szCs w:val="16"/>
        </w:rPr>
        <w:t>高可信负样本筛选</w:t>
      </w:r>
      <w:r w:rsidRPr="002C005D">
        <w:rPr>
          <w:rFonts w:ascii="宋体" w:eastAsia="宋体" w:hAnsi="宋体" w:hint="eastAsia"/>
          <w:sz w:val="16"/>
          <w:szCs w:val="16"/>
        </w:rPr>
        <w:br/>
        <w:t>基于结构和功能</w:t>
      </w:r>
      <w:proofErr w:type="gramStart"/>
      <w:r w:rsidRPr="002C005D">
        <w:rPr>
          <w:rFonts w:ascii="宋体" w:eastAsia="宋体" w:hAnsi="宋体" w:hint="eastAsia"/>
          <w:sz w:val="16"/>
          <w:szCs w:val="16"/>
        </w:rPr>
        <w:t>不</w:t>
      </w:r>
      <w:proofErr w:type="gramEnd"/>
      <w:r w:rsidRPr="002C005D">
        <w:rPr>
          <w:rFonts w:ascii="宋体" w:eastAsia="宋体" w:hAnsi="宋体" w:hint="eastAsia"/>
          <w:sz w:val="16"/>
          <w:szCs w:val="16"/>
        </w:rPr>
        <w:t>相似性规则，结合交互数量与特征差异性检验，构建低噪声、高可靠性的负样本集合，提升训练数据质量。</w:t>
      </w:r>
    </w:p>
    <w:p w14:paraId="20A30EC8" w14:textId="77777777" w:rsidR="009A383C" w:rsidRPr="009A383C" w:rsidRDefault="009A383C" w:rsidP="002C005D">
      <w:pPr>
        <w:spacing w:after="0" w:line="240" w:lineRule="auto"/>
        <w:ind w:firstLineChars="200" w:firstLine="321"/>
        <w:jc w:val="both"/>
        <w:rPr>
          <w:rFonts w:ascii="宋体" w:eastAsia="宋体" w:hAnsi="宋体"/>
          <w:sz w:val="16"/>
          <w:szCs w:val="16"/>
        </w:rPr>
      </w:pPr>
      <w:r w:rsidRPr="009A383C">
        <w:rPr>
          <w:rFonts w:ascii="宋体" w:eastAsia="宋体" w:hAnsi="宋体" w:hint="eastAsia"/>
          <w:b/>
          <w:bCs/>
          <w:sz w:val="16"/>
          <w:szCs w:val="16"/>
        </w:rPr>
        <w:lastRenderedPageBreak/>
        <w:t>多模态交叉注意力融合</w:t>
      </w:r>
      <w:r w:rsidRPr="009A383C">
        <w:rPr>
          <w:rFonts w:ascii="宋体" w:eastAsia="宋体" w:hAnsi="宋体" w:hint="eastAsia"/>
          <w:sz w:val="16"/>
          <w:szCs w:val="16"/>
        </w:rPr>
        <w:br/>
        <w:t>设计跨模态交叉注意力模块，有效融合蛋白质序列与结构特征、药物分子图与SMILES信息，实现更精准的信息对齐与语义表达。</w:t>
      </w:r>
    </w:p>
    <w:p w14:paraId="2A7AC01C" w14:textId="77777777" w:rsidR="009A383C" w:rsidRPr="009A383C" w:rsidRDefault="009A383C" w:rsidP="002C005D">
      <w:pPr>
        <w:spacing w:after="0" w:line="240" w:lineRule="auto"/>
        <w:ind w:firstLineChars="200" w:firstLine="321"/>
        <w:jc w:val="both"/>
        <w:rPr>
          <w:rFonts w:ascii="宋体" w:eastAsia="宋体" w:hAnsi="宋体"/>
          <w:sz w:val="16"/>
          <w:szCs w:val="16"/>
        </w:rPr>
      </w:pPr>
      <w:r w:rsidRPr="009A383C">
        <w:rPr>
          <w:rFonts w:ascii="宋体" w:eastAsia="宋体" w:hAnsi="宋体" w:hint="eastAsia"/>
          <w:b/>
          <w:bCs/>
          <w:sz w:val="16"/>
          <w:szCs w:val="16"/>
        </w:rPr>
        <w:t>全局</w:t>
      </w:r>
      <w:proofErr w:type="gramStart"/>
      <w:r w:rsidRPr="009A383C">
        <w:rPr>
          <w:rFonts w:ascii="宋体" w:eastAsia="宋体" w:hAnsi="宋体" w:hint="eastAsia"/>
          <w:b/>
          <w:bCs/>
          <w:sz w:val="16"/>
          <w:szCs w:val="16"/>
        </w:rPr>
        <w:t>交互与</w:t>
      </w:r>
      <w:proofErr w:type="gramEnd"/>
      <w:r w:rsidRPr="009A383C">
        <w:rPr>
          <w:rFonts w:ascii="宋体" w:eastAsia="宋体" w:hAnsi="宋体" w:hint="eastAsia"/>
          <w:b/>
          <w:bCs/>
          <w:sz w:val="16"/>
          <w:szCs w:val="16"/>
        </w:rPr>
        <w:t>可解释性增强</w:t>
      </w:r>
      <w:r w:rsidRPr="009A383C">
        <w:rPr>
          <w:rFonts w:ascii="宋体" w:eastAsia="宋体" w:hAnsi="宋体" w:hint="eastAsia"/>
          <w:sz w:val="16"/>
          <w:szCs w:val="16"/>
        </w:rPr>
        <w:br/>
        <w:t>引入全局语义交互机制与注意力可视化方法，实现药物-蛋白深层特征关联建模，并提供原子/残基级的可解释性输出。</w:t>
      </w:r>
    </w:p>
    <w:p w14:paraId="2EBAB488" w14:textId="1EEDFF23" w:rsidR="009A383C" w:rsidRPr="002C005D" w:rsidRDefault="009A383C" w:rsidP="002C005D">
      <w:pPr>
        <w:spacing w:after="0" w:line="240" w:lineRule="auto"/>
        <w:ind w:firstLineChars="200" w:firstLine="321"/>
        <w:jc w:val="both"/>
        <w:rPr>
          <w:rFonts w:ascii="宋体" w:eastAsia="宋体" w:hAnsi="宋体"/>
          <w:sz w:val="16"/>
          <w:szCs w:val="16"/>
        </w:rPr>
      </w:pPr>
      <w:r w:rsidRPr="00B511B5">
        <w:rPr>
          <w:rFonts w:ascii="宋体" w:eastAsia="宋体" w:hAnsi="宋体" w:hint="eastAsia"/>
          <w:b/>
          <w:bCs/>
          <w:sz w:val="16"/>
          <w:szCs w:val="16"/>
          <w:highlight w:val="yellow"/>
        </w:rPr>
        <w:t xml:space="preserve">20. </w:t>
      </w:r>
      <w:r w:rsidRPr="002C005D">
        <w:rPr>
          <w:rFonts w:ascii="宋体" w:eastAsia="宋体" w:hAnsi="宋体" w:hint="eastAsia"/>
          <w:sz w:val="16"/>
          <w:szCs w:val="16"/>
        </w:rPr>
        <w:t>本研究具备坚实的数据资源支撑，</w:t>
      </w:r>
    </w:p>
    <w:p w14:paraId="4BAC98F3" w14:textId="77777777" w:rsidR="009A383C" w:rsidRPr="009A383C" w:rsidRDefault="009A383C" w:rsidP="002C005D">
      <w:pPr>
        <w:spacing w:after="0" w:line="240" w:lineRule="auto"/>
        <w:ind w:firstLineChars="200" w:firstLine="320"/>
        <w:jc w:val="both"/>
        <w:rPr>
          <w:rFonts w:ascii="宋体" w:eastAsia="宋体" w:hAnsi="宋体"/>
          <w:sz w:val="16"/>
          <w:szCs w:val="16"/>
        </w:rPr>
      </w:pPr>
      <w:r w:rsidRPr="009A383C">
        <w:rPr>
          <w:rFonts w:ascii="宋体" w:eastAsia="宋体" w:hAnsi="宋体" w:hint="eastAsia"/>
          <w:sz w:val="16"/>
          <w:szCs w:val="16"/>
        </w:rPr>
        <w:t>药物-靶点数据丰富</w:t>
      </w:r>
      <w:proofErr w:type="gramStart"/>
      <w:r w:rsidRPr="009A383C">
        <w:rPr>
          <w:rFonts w:ascii="宋体" w:eastAsia="宋体" w:hAnsi="宋体" w:hint="eastAsia"/>
          <w:sz w:val="16"/>
          <w:szCs w:val="16"/>
        </w:rPr>
        <w:t>且公开</w:t>
      </w:r>
      <w:proofErr w:type="gramEnd"/>
      <w:r w:rsidRPr="009A383C">
        <w:rPr>
          <w:rFonts w:ascii="宋体" w:eastAsia="宋体" w:hAnsi="宋体" w:hint="eastAsia"/>
          <w:sz w:val="16"/>
          <w:szCs w:val="16"/>
        </w:rPr>
        <w:t>可用，负样本筛选方法与特征处理手段成熟。</w:t>
      </w:r>
    </w:p>
    <w:p w14:paraId="3774906C" w14:textId="77777777" w:rsidR="009A383C" w:rsidRPr="009A383C" w:rsidRDefault="009A383C" w:rsidP="002C005D">
      <w:pPr>
        <w:spacing w:after="0" w:line="240" w:lineRule="auto"/>
        <w:ind w:firstLineChars="200" w:firstLine="320"/>
        <w:jc w:val="both"/>
        <w:rPr>
          <w:rFonts w:ascii="宋体" w:eastAsia="宋体" w:hAnsi="宋体"/>
          <w:sz w:val="16"/>
          <w:szCs w:val="16"/>
        </w:rPr>
      </w:pPr>
      <w:r w:rsidRPr="009A383C">
        <w:rPr>
          <w:rFonts w:ascii="宋体" w:eastAsia="宋体" w:hAnsi="宋体" w:hint="eastAsia"/>
          <w:sz w:val="16"/>
          <w:szCs w:val="16"/>
        </w:rPr>
        <w:t>所采用的模型架构建立在图神经网络与Transformer等主流深度学习技术之上，技术路线清晰，</w:t>
      </w:r>
    </w:p>
    <w:p w14:paraId="0DD55987" w14:textId="77777777" w:rsidR="009A383C" w:rsidRPr="009A383C" w:rsidRDefault="009A383C" w:rsidP="002C005D">
      <w:pPr>
        <w:spacing w:after="0" w:line="240" w:lineRule="auto"/>
        <w:ind w:firstLineChars="200" w:firstLine="320"/>
        <w:jc w:val="both"/>
        <w:rPr>
          <w:rFonts w:ascii="宋体" w:eastAsia="宋体" w:hAnsi="宋体"/>
          <w:sz w:val="16"/>
          <w:szCs w:val="16"/>
        </w:rPr>
      </w:pPr>
      <w:r w:rsidRPr="009A383C">
        <w:rPr>
          <w:rFonts w:ascii="宋体" w:eastAsia="宋体" w:hAnsi="宋体" w:hint="eastAsia"/>
          <w:sz w:val="16"/>
          <w:szCs w:val="16"/>
        </w:rPr>
        <w:t>工程实现具备完整基础。已完成关键模块的初步实现，具备多模态数据处理与模型构建的相关开发能力。</w:t>
      </w:r>
    </w:p>
    <w:p w14:paraId="5CCE9E8E" w14:textId="4CD83ECC" w:rsidR="00A00379" w:rsidRPr="002C005D" w:rsidRDefault="00A00379" w:rsidP="002C005D">
      <w:pPr>
        <w:spacing w:after="0" w:line="240" w:lineRule="auto"/>
        <w:ind w:firstLineChars="200" w:firstLine="320"/>
        <w:jc w:val="both"/>
        <w:rPr>
          <w:rFonts w:ascii="宋体" w:eastAsia="宋体" w:hAnsi="宋体" w:hint="eastAsia"/>
          <w:sz w:val="16"/>
          <w:szCs w:val="16"/>
        </w:rPr>
      </w:pPr>
    </w:p>
    <w:p w14:paraId="04BE0F7F" w14:textId="77777777" w:rsidR="00A00379" w:rsidRPr="002C005D" w:rsidRDefault="00A00379" w:rsidP="002C005D">
      <w:pPr>
        <w:spacing w:after="0" w:line="240" w:lineRule="auto"/>
        <w:ind w:firstLineChars="200" w:firstLine="320"/>
        <w:jc w:val="both"/>
        <w:rPr>
          <w:rFonts w:ascii="宋体" w:eastAsia="宋体" w:hAnsi="宋体" w:hint="eastAsia"/>
          <w:sz w:val="16"/>
          <w:szCs w:val="16"/>
        </w:rPr>
      </w:pPr>
    </w:p>
    <w:sectPr w:rsidR="00A00379" w:rsidRPr="002C005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87CD1" w14:textId="77777777" w:rsidR="00FD57FB" w:rsidRDefault="00FD57FB" w:rsidP="00124B23">
      <w:pPr>
        <w:spacing w:after="0" w:line="240" w:lineRule="auto"/>
        <w:rPr>
          <w:rFonts w:hint="eastAsia"/>
        </w:rPr>
      </w:pPr>
      <w:r>
        <w:separator/>
      </w:r>
    </w:p>
  </w:endnote>
  <w:endnote w:type="continuationSeparator" w:id="0">
    <w:p w14:paraId="323E8C35" w14:textId="77777777" w:rsidR="00FD57FB" w:rsidRDefault="00FD57FB" w:rsidP="00124B2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D65F0" w14:textId="77777777" w:rsidR="00FD57FB" w:rsidRDefault="00FD57FB" w:rsidP="00124B23">
      <w:pPr>
        <w:spacing w:after="0" w:line="240" w:lineRule="auto"/>
        <w:rPr>
          <w:rFonts w:hint="eastAsia"/>
        </w:rPr>
      </w:pPr>
      <w:r>
        <w:separator/>
      </w:r>
    </w:p>
  </w:footnote>
  <w:footnote w:type="continuationSeparator" w:id="0">
    <w:p w14:paraId="46871608" w14:textId="77777777" w:rsidR="00FD57FB" w:rsidRDefault="00FD57FB" w:rsidP="00124B23">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AF4"/>
    <w:rsid w:val="00124B23"/>
    <w:rsid w:val="002C005D"/>
    <w:rsid w:val="005D7AF7"/>
    <w:rsid w:val="006D6AF4"/>
    <w:rsid w:val="00967A43"/>
    <w:rsid w:val="009A383C"/>
    <w:rsid w:val="00A00379"/>
    <w:rsid w:val="00B511B5"/>
    <w:rsid w:val="00C4073C"/>
    <w:rsid w:val="00CD3DFE"/>
    <w:rsid w:val="00D21EAE"/>
    <w:rsid w:val="00D674AB"/>
    <w:rsid w:val="00F8707B"/>
    <w:rsid w:val="00FD57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D0CFC1"/>
  <w15:chartTrackingRefBased/>
  <w15:docId w15:val="{332DFB95-F259-475F-813F-D91CDC867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D6AF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D6AF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D6AF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D6AF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D6AF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D6AF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D6AF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D6AF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D6AF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D6AF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D6AF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D6AF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D6AF4"/>
    <w:rPr>
      <w:rFonts w:cstheme="majorBidi"/>
      <w:color w:val="0F4761" w:themeColor="accent1" w:themeShade="BF"/>
      <w:sz w:val="28"/>
      <w:szCs w:val="28"/>
    </w:rPr>
  </w:style>
  <w:style w:type="character" w:customStyle="1" w:styleId="50">
    <w:name w:val="标题 5 字符"/>
    <w:basedOn w:val="a0"/>
    <w:link w:val="5"/>
    <w:uiPriority w:val="9"/>
    <w:semiHidden/>
    <w:rsid w:val="006D6AF4"/>
    <w:rPr>
      <w:rFonts w:cstheme="majorBidi"/>
      <w:color w:val="0F4761" w:themeColor="accent1" w:themeShade="BF"/>
      <w:sz w:val="24"/>
    </w:rPr>
  </w:style>
  <w:style w:type="character" w:customStyle="1" w:styleId="60">
    <w:name w:val="标题 6 字符"/>
    <w:basedOn w:val="a0"/>
    <w:link w:val="6"/>
    <w:uiPriority w:val="9"/>
    <w:semiHidden/>
    <w:rsid w:val="006D6AF4"/>
    <w:rPr>
      <w:rFonts w:cstheme="majorBidi"/>
      <w:b/>
      <w:bCs/>
      <w:color w:val="0F4761" w:themeColor="accent1" w:themeShade="BF"/>
    </w:rPr>
  </w:style>
  <w:style w:type="character" w:customStyle="1" w:styleId="70">
    <w:name w:val="标题 7 字符"/>
    <w:basedOn w:val="a0"/>
    <w:link w:val="7"/>
    <w:uiPriority w:val="9"/>
    <w:semiHidden/>
    <w:rsid w:val="006D6AF4"/>
    <w:rPr>
      <w:rFonts w:cstheme="majorBidi"/>
      <w:b/>
      <w:bCs/>
      <w:color w:val="595959" w:themeColor="text1" w:themeTint="A6"/>
    </w:rPr>
  </w:style>
  <w:style w:type="character" w:customStyle="1" w:styleId="80">
    <w:name w:val="标题 8 字符"/>
    <w:basedOn w:val="a0"/>
    <w:link w:val="8"/>
    <w:uiPriority w:val="9"/>
    <w:semiHidden/>
    <w:rsid w:val="006D6AF4"/>
    <w:rPr>
      <w:rFonts w:cstheme="majorBidi"/>
      <w:color w:val="595959" w:themeColor="text1" w:themeTint="A6"/>
    </w:rPr>
  </w:style>
  <w:style w:type="character" w:customStyle="1" w:styleId="90">
    <w:name w:val="标题 9 字符"/>
    <w:basedOn w:val="a0"/>
    <w:link w:val="9"/>
    <w:uiPriority w:val="9"/>
    <w:semiHidden/>
    <w:rsid w:val="006D6AF4"/>
    <w:rPr>
      <w:rFonts w:eastAsiaTheme="majorEastAsia" w:cstheme="majorBidi"/>
      <w:color w:val="595959" w:themeColor="text1" w:themeTint="A6"/>
    </w:rPr>
  </w:style>
  <w:style w:type="paragraph" w:styleId="a3">
    <w:name w:val="Title"/>
    <w:basedOn w:val="a"/>
    <w:next w:val="a"/>
    <w:link w:val="a4"/>
    <w:uiPriority w:val="10"/>
    <w:qFormat/>
    <w:rsid w:val="006D6AF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D6AF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6AF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D6AF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D6AF4"/>
    <w:pPr>
      <w:spacing w:before="160"/>
      <w:jc w:val="center"/>
    </w:pPr>
    <w:rPr>
      <w:i/>
      <w:iCs/>
      <w:color w:val="404040" w:themeColor="text1" w:themeTint="BF"/>
    </w:rPr>
  </w:style>
  <w:style w:type="character" w:customStyle="1" w:styleId="a8">
    <w:name w:val="引用 字符"/>
    <w:basedOn w:val="a0"/>
    <w:link w:val="a7"/>
    <w:uiPriority w:val="29"/>
    <w:rsid w:val="006D6AF4"/>
    <w:rPr>
      <w:i/>
      <w:iCs/>
      <w:color w:val="404040" w:themeColor="text1" w:themeTint="BF"/>
    </w:rPr>
  </w:style>
  <w:style w:type="paragraph" w:styleId="a9">
    <w:name w:val="List Paragraph"/>
    <w:basedOn w:val="a"/>
    <w:uiPriority w:val="34"/>
    <w:qFormat/>
    <w:rsid w:val="006D6AF4"/>
    <w:pPr>
      <w:ind w:left="720"/>
      <w:contextualSpacing/>
    </w:pPr>
  </w:style>
  <w:style w:type="character" w:styleId="aa">
    <w:name w:val="Intense Emphasis"/>
    <w:basedOn w:val="a0"/>
    <w:uiPriority w:val="21"/>
    <w:qFormat/>
    <w:rsid w:val="006D6AF4"/>
    <w:rPr>
      <w:i/>
      <w:iCs/>
      <w:color w:val="0F4761" w:themeColor="accent1" w:themeShade="BF"/>
    </w:rPr>
  </w:style>
  <w:style w:type="paragraph" w:styleId="ab">
    <w:name w:val="Intense Quote"/>
    <w:basedOn w:val="a"/>
    <w:next w:val="a"/>
    <w:link w:val="ac"/>
    <w:uiPriority w:val="30"/>
    <w:qFormat/>
    <w:rsid w:val="006D6A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D6AF4"/>
    <w:rPr>
      <w:i/>
      <w:iCs/>
      <w:color w:val="0F4761" w:themeColor="accent1" w:themeShade="BF"/>
    </w:rPr>
  </w:style>
  <w:style w:type="character" w:styleId="ad">
    <w:name w:val="Intense Reference"/>
    <w:basedOn w:val="a0"/>
    <w:uiPriority w:val="32"/>
    <w:qFormat/>
    <w:rsid w:val="006D6AF4"/>
    <w:rPr>
      <w:b/>
      <w:bCs/>
      <w:smallCaps/>
      <w:color w:val="0F4761" w:themeColor="accent1" w:themeShade="BF"/>
      <w:spacing w:val="5"/>
    </w:rPr>
  </w:style>
  <w:style w:type="paragraph" w:styleId="ae">
    <w:name w:val="header"/>
    <w:basedOn w:val="a"/>
    <w:link w:val="af"/>
    <w:uiPriority w:val="99"/>
    <w:unhideWhenUsed/>
    <w:rsid w:val="00124B2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24B23"/>
    <w:rPr>
      <w:sz w:val="18"/>
      <w:szCs w:val="18"/>
    </w:rPr>
  </w:style>
  <w:style w:type="paragraph" w:styleId="af0">
    <w:name w:val="footer"/>
    <w:basedOn w:val="a"/>
    <w:link w:val="af1"/>
    <w:uiPriority w:val="99"/>
    <w:unhideWhenUsed/>
    <w:rsid w:val="00124B2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24B23"/>
    <w:rPr>
      <w:sz w:val="18"/>
      <w:szCs w:val="18"/>
    </w:rPr>
  </w:style>
  <w:style w:type="paragraph" w:styleId="af2">
    <w:name w:val="Normal (Web)"/>
    <w:basedOn w:val="a"/>
    <w:uiPriority w:val="99"/>
    <w:semiHidden/>
    <w:unhideWhenUsed/>
    <w:rsid w:val="00F8707B"/>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49990">
      <w:bodyDiv w:val="1"/>
      <w:marLeft w:val="0"/>
      <w:marRight w:val="0"/>
      <w:marTop w:val="0"/>
      <w:marBottom w:val="0"/>
      <w:divBdr>
        <w:top w:val="none" w:sz="0" w:space="0" w:color="auto"/>
        <w:left w:val="none" w:sz="0" w:space="0" w:color="auto"/>
        <w:bottom w:val="none" w:sz="0" w:space="0" w:color="auto"/>
        <w:right w:val="none" w:sz="0" w:space="0" w:color="auto"/>
      </w:divBdr>
    </w:div>
    <w:div w:id="179007011">
      <w:bodyDiv w:val="1"/>
      <w:marLeft w:val="0"/>
      <w:marRight w:val="0"/>
      <w:marTop w:val="0"/>
      <w:marBottom w:val="0"/>
      <w:divBdr>
        <w:top w:val="none" w:sz="0" w:space="0" w:color="auto"/>
        <w:left w:val="none" w:sz="0" w:space="0" w:color="auto"/>
        <w:bottom w:val="none" w:sz="0" w:space="0" w:color="auto"/>
        <w:right w:val="none" w:sz="0" w:space="0" w:color="auto"/>
      </w:divBdr>
    </w:div>
    <w:div w:id="322247690">
      <w:bodyDiv w:val="1"/>
      <w:marLeft w:val="0"/>
      <w:marRight w:val="0"/>
      <w:marTop w:val="0"/>
      <w:marBottom w:val="0"/>
      <w:divBdr>
        <w:top w:val="none" w:sz="0" w:space="0" w:color="auto"/>
        <w:left w:val="none" w:sz="0" w:space="0" w:color="auto"/>
        <w:bottom w:val="none" w:sz="0" w:space="0" w:color="auto"/>
        <w:right w:val="none" w:sz="0" w:space="0" w:color="auto"/>
      </w:divBdr>
    </w:div>
    <w:div w:id="440103663">
      <w:bodyDiv w:val="1"/>
      <w:marLeft w:val="0"/>
      <w:marRight w:val="0"/>
      <w:marTop w:val="0"/>
      <w:marBottom w:val="0"/>
      <w:divBdr>
        <w:top w:val="none" w:sz="0" w:space="0" w:color="auto"/>
        <w:left w:val="none" w:sz="0" w:space="0" w:color="auto"/>
        <w:bottom w:val="none" w:sz="0" w:space="0" w:color="auto"/>
        <w:right w:val="none" w:sz="0" w:space="0" w:color="auto"/>
      </w:divBdr>
    </w:div>
    <w:div w:id="444467302">
      <w:bodyDiv w:val="1"/>
      <w:marLeft w:val="0"/>
      <w:marRight w:val="0"/>
      <w:marTop w:val="0"/>
      <w:marBottom w:val="0"/>
      <w:divBdr>
        <w:top w:val="none" w:sz="0" w:space="0" w:color="auto"/>
        <w:left w:val="none" w:sz="0" w:space="0" w:color="auto"/>
        <w:bottom w:val="none" w:sz="0" w:space="0" w:color="auto"/>
        <w:right w:val="none" w:sz="0" w:space="0" w:color="auto"/>
      </w:divBdr>
    </w:div>
    <w:div w:id="492919601">
      <w:bodyDiv w:val="1"/>
      <w:marLeft w:val="0"/>
      <w:marRight w:val="0"/>
      <w:marTop w:val="0"/>
      <w:marBottom w:val="0"/>
      <w:divBdr>
        <w:top w:val="none" w:sz="0" w:space="0" w:color="auto"/>
        <w:left w:val="none" w:sz="0" w:space="0" w:color="auto"/>
        <w:bottom w:val="none" w:sz="0" w:space="0" w:color="auto"/>
        <w:right w:val="none" w:sz="0" w:space="0" w:color="auto"/>
      </w:divBdr>
    </w:div>
    <w:div w:id="613906767">
      <w:bodyDiv w:val="1"/>
      <w:marLeft w:val="0"/>
      <w:marRight w:val="0"/>
      <w:marTop w:val="0"/>
      <w:marBottom w:val="0"/>
      <w:divBdr>
        <w:top w:val="none" w:sz="0" w:space="0" w:color="auto"/>
        <w:left w:val="none" w:sz="0" w:space="0" w:color="auto"/>
        <w:bottom w:val="none" w:sz="0" w:space="0" w:color="auto"/>
        <w:right w:val="none" w:sz="0" w:space="0" w:color="auto"/>
      </w:divBdr>
    </w:div>
    <w:div w:id="1159007242">
      <w:bodyDiv w:val="1"/>
      <w:marLeft w:val="0"/>
      <w:marRight w:val="0"/>
      <w:marTop w:val="0"/>
      <w:marBottom w:val="0"/>
      <w:divBdr>
        <w:top w:val="none" w:sz="0" w:space="0" w:color="auto"/>
        <w:left w:val="none" w:sz="0" w:space="0" w:color="auto"/>
        <w:bottom w:val="none" w:sz="0" w:space="0" w:color="auto"/>
        <w:right w:val="none" w:sz="0" w:space="0" w:color="auto"/>
      </w:divBdr>
    </w:div>
    <w:div w:id="1177962007">
      <w:bodyDiv w:val="1"/>
      <w:marLeft w:val="0"/>
      <w:marRight w:val="0"/>
      <w:marTop w:val="0"/>
      <w:marBottom w:val="0"/>
      <w:divBdr>
        <w:top w:val="none" w:sz="0" w:space="0" w:color="auto"/>
        <w:left w:val="none" w:sz="0" w:space="0" w:color="auto"/>
        <w:bottom w:val="none" w:sz="0" w:space="0" w:color="auto"/>
        <w:right w:val="none" w:sz="0" w:space="0" w:color="auto"/>
      </w:divBdr>
    </w:div>
    <w:div w:id="1232350890">
      <w:bodyDiv w:val="1"/>
      <w:marLeft w:val="0"/>
      <w:marRight w:val="0"/>
      <w:marTop w:val="0"/>
      <w:marBottom w:val="0"/>
      <w:divBdr>
        <w:top w:val="none" w:sz="0" w:space="0" w:color="auto"/>
        <w:left w:val="none" w:sz="0" w:space="0" w:color="auto"/>
        <w:bottom w:val="none" w:sz="0" w:space="0" w:color="auto"/>
        <w:right w:val="none" w:sz="0" w:space="0" w:color="auto"/>
      </w:divBdr>
    </w:div>
    <w:div w:id="1365256478">
      <w:bodyDiv w:val="1"/>
      <w:marLeft w:val="0"/>
      <w:marRight w:val="0"/>
      <w:marTop w:val="0"/>
      <w:marBottom w:val="0"/>
      <w:divBdr>
        <w:top w:val="none" w:sz="0" w:space="0" w:color="auto"/>
        <w:left w:val="none" w:sz="0" w:space="0" w:color="auto"/>
        <w:bottom w:val="none" w:sz="0" w:space="0" w:color="auto"/>
        <w:right w:val="none" w:sz="0" w:space="0" w:color="auto"/>
      </w:divBdr>
    </w:div>
    <w:div w:id="1400709510">
      <w:bodyDiv w:val="1"/>
      <w:marLeft w:val="0"/>
      <w:marRight w:val="0"/>
      <w:marTop w:val="0"/>
      <w:marBottom w:val="0"/>
      <w:divBdr>
        <w:top w:val="none" w:sz="0" w:space="0" w:color="auto"/>
        <w:left w:val="none" w:sz="0" w:space="0" w:color="auto"/>
        <w:bottom w:val="none" w:sz="0" w:space="0" w:color="auto"/>
        <w:right w:val="none" w:sz="0" w:space="0" w:color="auto"/>
      </w:divBdr>
    </w:div>
    <w:div w:id="1412040586">
      <w:bodyDiv w:val="1"/>
      <w:marLeft w:val="0"/>
      <w:marRight w:val="0"/>
      <w:marTop w:val="0"/>
      <w:marBottom w:val="0"/>
      <w:divBdr>
        <w:top w:val="none" w:sz="0" w:space="0" w:color="auto"/>
        <w:left w:val="none" w:sz="0" w:space="0" w:color="auto"/>
        <w:bottom w:val="none" w:sz="0" w:space="0" w:color="auto"/>
        <w:right w:val="none" w:sz="0" w:space="0" w:color="auto"/>
      </w:divBdr>
    </w:div>
    <w:div w:id="1511723583">
      <w:bodyDiv w:val="1"/>
      <w:marLeft w:val="0"/>
      <w:marRight w:val="0"/>
      <w:marTop w:val="0"/>
      <w:marBottom w:val="0"/>
      <w:divBdr>
        <w:top w:val="none" w:sz="0" w:space="0" w:color="auto"/>
        <w:left w:val="none" w:sz="0" w:space="0" w:color="auto"/>
        <w:bottom w:val="none" w:sz="0" w:space="0" w:color="auto"/>
        <w:right w:val="none" w:sz="0" w:space="0" w:color="auto"/>
      </w:divBdr>
    </w:div>
    <w:div w:id="1742290270">
      <w:bodyDiv w:val="1"/>
      <w:marLeft w:val="0"/>
      <w:marRight w:val="0"/>
      <w:marTop w:val="0"/>
      <w:marBottom w:val="0"/>
      <w:divBdr>
        <w:top w:val="none" w:sz="0" w:space="0" w:color="auto"/>
        <w:left w:val="none" w:sz="0" w:space="0" w:color="auto"/>
        <w:bottom w:val="none" w:sz="0" w:space="0" w:color="auto"/>
        <w:right w:val="none" w:sz="0" w:space="0" w:color="auto"/>
      </w:divBdr>
    </w:div>
    <w:div w:id="1893031828">
      <w:bodyDiv w:val="1"/>
      <w:marLeft w:val="0"/>
      <w:marRight w:val="0"/>
      <w:marTop w:val="0"/>
      <w:marBottom w:val="0"/>
      <w:divBdr>
        <w:top w:val="none" w:sz="0" w:space="0" w:color="auto"/>
        <w:left w:val="none" w:sz="0" w:space="0" w:color="auto"/>
        <w:bottom w:val="none" w:sz="0" w:space="0" w:color="auto"/>
        <w:right w:val="none" w:sz="0" w:space="0" w:color="auto"/>
      </w:divBdr>
    </w:div>
    <w:div w:id="2041856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774</Words>
  <Characters>4415</Characters>
  <Application>Microsoft Office Word</Application>
  <DocSecurity>0</DocSecurity>
  <Lines>36</Lines>
  <Paragraphs>10</Paragraphs>
  <ScaleCrop>false</ScaleCrop>
  <Company/>
  <LinksUpToDate>false</LinksUpToDate>
  <CharactersWithSpaces>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牛　文涛</dc:creator>
  <cp:keywords/>
  <dc:description/>
  <cp:lastModifiedBy>牛　文涛</cp:lastModifiedBy>
  <cp:revision>28</cp:revision>
  <dcterms:created xsi:type="dcterms:W3CDTF">2025-03-30T18:20:00Z</dcterms:created>
  <dcterms:modified xsi:type="dcterms:W3CDTF">2025-03-30T18:27:00Z</dcterms:modified>
</cp:coreProperties>
</file>