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AI Knowledge Assistant</w:t>
        <w:br/>
        <w:t>Software Requirements Specification (SRS)</w:t>
      </w:r>
    </w:p>
    <w:p>
      <w:r>
        <w:rPr>
          <w:b/>
        </w:rPr>
        <w:t xml:space="preserve">Version: </w:t>
      </w:r>
      <w:r>
        <w:t>1.0</w:t>
        <w:br/>
      </w:r>
      <w:r>
        <w:rPr>
          <w:b/>
        </w:rPr>
        <w:t xml:space="preserve">Purpose: </w:t>
      </w:r>
      <w:r>
        <w:t>Enterprise-grade RAG application for SAP knowledge management and conversational AI.</w:t>
        <w:br/>
      </w:r>
    </w:p>
    <w:p>
      <w:pPr>
        <w:pStyle w:val="Heading1"/>
      </w:pPr>
      <w:r>
        <w:t>1. Vision</w:t>
      </w:r>
    </w:p>
    <w:p>
      <w:pPr/>
      <w:r>
        <w:rPr>
          <w:sz w:val="22"/>
        </w:rPr>
        <w:t>Build a production-grade SAP AI assistant trained exclusively on administrator-provided knowledge. It should answer questions using Retrieval-Augmented Generation (RAG), provide citations, avoid hallucinations, and support ABAP, SAP MDG, Business Partner, Material Master, and future SAP modules.</w:t>
      </w:r>
    </w:p>
    <w:p>
      <w:pPr>
        <w:pStyle w:val="Heading1"/>
      </w:pPr>
      <w:r>
        <w:t>2. Core Features</w:t>
      </w:r>
    </w:p>
    <w:p>
      <w:pPr>
        <w:pStyle w:val="ListBullet"/>
      </w:pPr>
      <w:r>
        <w:t>- Knowledge Center (CMS)</w:t>
      </w:r>
    </w:p>
    <w:p>
      <w:pPr>
        <w:pStyle w:val="ListBullet"/>
      </w:pPr>
      <w:r>
        <w:t>- AI Chat with streaming responses</w:t>
      </w:r>
    </w:p>
    <w:p>
      <w:pPr>
        <w:pStyle w:val="ListBullet"/>
      </w:pPr>
      <w:r>
        <w:t>- Retrieval-Augmented Generation (RAG)</w:t>
      </w:r>
    </w:p>
    <w:p>
      <w:pPr>
        <w:pStyle w:val="ListBullet"/>
      </w:pPr>
      <w:r>
        <w:t>- Source citations</w:t>
      </w:r>
    </w:p>
    <w:p>
      <w:pPr>
        <w:pStyle w:val="ListBullet"/>
      </w:pPr>
      <w:r>
        <w:t>- Conversation memory</w:t>
      </w:r>
    </w:p>
    <w:p>
      <w:pPr>
        <w:pStyle w:val="ListBullet"/>
      </w:pPr>
      <w:r>
        <w:t>- Role-based authentication</w:t>
      </w:r>
    </w:p>
    <w:p>
      <w:pPr>
        <w:pStyle w:val="ListBullet"/>
      </w:pPr>
      <w:r>
        <w:t>- Analytics dashboard</w:t>
      </w:r>
    </w:p>
    <w:p>
      <w:pPr>
        <w:pStyle w:val="ListBullet"/>
      </w:pPr>
      <w:r>
        <w:t>- Incremental knowledge indexing</w:t>
      </w:r>
    </w:p>
    <w:p>
      <w:pPr>
        <w:pStyle w:val="Heading1"/>
      </w:pPr>
      <w:r>
        <w:t>3. Knowledge Center</w:t>
      </w:r>
    </w:p>
    <w:p>
      <w:pPr/>
      <w:r>
        <w:rPr>
          <w:sz w:val="22"/>
        </w:rPr>
        <w:t>Support upload of PDF, DOCX, PPTX, XLSX, CSV, Markdown, TXT, HTML, SAP functional specifications, technical specifications, WRICEF documents, user manuals, training material, websites and OCR images. Maintain folders, tags, metadata, versions and lifecycle management.</w:t>
      </w:r>
    </w:p>
    <w:p>
      <w:pPr>
        <w:pStyle w:val="Heading1"/>
      </w:pPr>
      <w:r>
        <w:t>4. Knowledge Ingestion Pipeline</w:t>
      </w:r>
    </w:p>
    <w:p>
      <w:pPr/>
      <w:r>
        <w:rPr>
          <w:sz w:val="22"/>
        </w:rPr>
        <w:t>Upload → Validation → Parsing → OCR → Table Extraction → Metadata Extraction → Normalization → Semantic Chunking → Embedding Generation → Pinecone Indexing → Ready for Retrieval.</w:t>
      </w:r>
    </w:p>
    <w:p>
      <w:pPr/>
      <w:r>
        <w:rPr>
          <w:sz w:val="22"/>
        </w:rPr>
        <w:t>Use semantic chunks (300–600 tokens, 75–100 overlap). Preserve code, tables and SAP workflows.</w:t>
      </w:r>
    </w:p>
    <w:p>
      <w:pPr>
        <w:pStyle w:val="Heading1"/>
      </w:pPr>
      <w:r>
        <w:t>5. Pinecone Vector Database</w:t>
      </w:r>
    </w:p>
    <w:p>
      <w:pPr/>
      <w:r>
        <w:rPr>
          <w:sz w:val="22"/>
        </w:rPr>
        <w:t>Use Pinecone as the primary vector store. Store embedding vectors together with metadata including document name, page, heading, module, tags and chunk identifiers. Use namespaces for ABAP, MDG, S/4HANA, project documentation and client-specific repositories.</w:t>
      </w:r>
    </w:p>
    <w:p>
      <w:pPr>
        <w:pStyle w:val="Heading1"/>
      </w:pPr>
      <w:r>
        <w:t>6. Retrieval Pipeline</w:t>
      </w:r>
    </w:p>
    <w:p>
      <w:pPr/>
      <w:r>
        <w:rPr>
          <w:sz w:val="22"/>
        </w:rPr>
        <w:t>User Query → Query Expansion → Metadata Filter → Hybrid Search (Semantic + BM25) → Cross Encoder Re-ranking → Context Compression → Prompt Builder → Gemini 2.5 Pro → Citation Engine → Streaming Response.</w:t>
      </w:r>
    </w:p>
    <w:p>
      <w:pPr>
        <w:pStyle w:val="Heading1"/>
      </w:pPr>
      <w:r>
        <w:t>7. Gemini Integration</w:t>
      </w:r>
    </w:p>
    <w:p>
      <w:pPr/>
      <w:r>
        <w:rPr>
          <w:sz w:val="22"/>
        </w:rPr>
        <w:t>Store GEMINI_API_KEY in a backend .env file. Use google-genai SDK. Never expose the key to the frontend. Implement an AI provider abstraction layer to support future LLM replacement.</w:t>
      </w:r>
    </w:p>
    <w:p>
      <w:pPr>
        <w:pStyle w:val="Heading1"/>
      </w:pPr>
      <w:r>
        <w:t>8. Recommended Technology Stack</w:t>
      </w:r>
    </w:p>
    <w:p>
      <w:pPr/>
      <w:r>
        <w:rPr>
          <w:sz w:val="22"/>
        </w:rPr>
        <w:t>Frontend: Next.js, React, TypeScript, Tailwind CSS, shadcn/ui.</w:t>
      </w:r>
    </w:p>
    <w:p>
      <w:pPr/>
      <w:r>
        <w:rPr>
          <w:sz w:val="22"/>
        </w:rPr>
        <w:t>Backend: FastAPI, Python.</w:t>
      </w:r>
    </w:p>
    <w:p>
      <w:pPr/>
      <w:r>
        <w:rPr>
          <w:sz w:val="22"/>
        </w:rPr>
        <w:t>AI: LangGraph, LangChain.</w:t>
      </w:r>
    </w:p>
    <w:p>
      <w:pPr/>
      <w:r>
        <w:rPr>
          <w:sz w:val="22"/>
        </w:rPr>
        <w:t>LLM: Gemini 2.5 Pro.</w:t>
      </w:r>
    </w:p>
    <w:p>
      <w:pPr/>
      <w:r>
        <w:rPr>
          <w:sz w:val="22"/>
        </w:rPr>
        <w:t>Embeddings: text-embedding-004.</w:t>
      </w:r>
    </w:p>
    <w:p>
      <w:pPr/>
      <w:r>
        <w:rPr>
          <w:sz w:val="22"/>
        </w:rPr>
        <w:t>Vector DB: Pinecone.</w:t>
      </w:r>
    </w:p>
    <w:p>
      <w:pPr/>
      <w:r>
        <w:rPr>
          <w:sz w:val="22"/>
        </w:rPr>
        <w:t>Database: PostgreSQL.</w:t>
      </w:r>
    </w:p>
    <w:p>
      <w:pPr/>
      <w:r>
        <w:rPr>
          <w:sz w:val="22"/>
        </w:rPr>
        <w:t>Cache: Redis.</w:t>
      </w:r>
    </w:p>
    <w:p>
      <w:pPr/>
      <w:r>
        <w:rPr>
          <w:sz w:val="22"/>
        </w:rPr>
        <w:t>Queue: Celery.</w:t>
      </w:r>
    </w:p>
    <w:p>
      <w:pPr/>
      <w:r>
        <w:rPr>
          <w:sz w:val="22"/>
        </w:rPr>
        <w:t>Monitoring: LangSmith, OpenTelemetry.</w:t>
      </w:r>
    </w:p>
    <w:p>
      <w:pPr>
        <w:pStyle w:val="Heading1"/>
      </w:pPr>
      <w:r>
        <w:t>9. Enterprise Features</w:t>
      </w:r>
    </w:p>
    <w:p>
      <w:pPr/>
      <w:r>
        <w:rPr>
          <w:sz w:val="22"/>
        </w:rPr>
        <w:t>Background indexing, audit logs, document versioning, role-based access control, analytics, knowledge collections, multi-tenant support, incremental indexing, knowledge gap reporting, citation engine and feedback loop.</w:t>
      </w:r>
    </w:p>
    <w:p>
      <w:pPr>
        <w:pStyle w:val="Heading1"/>
      </w:pPr>
      <w:r>
        <w:t>10. Development Principles</w:t>
      </w:r>
    </w:p>
    <w:p>
      <w:pPr/>
      <w:r>
        <w:rPr>
          <w:sz w:val="22"/>
        </w:rPr>
        <w:t>Ground every response in retrieved content. Never hallucinate. Maintain traceability from answer to source. Build modular services, asynchronous ingestion, scalable APIs and secure backend-only AI access.</w:t>
      </w:r>
    </w:p>
    <w:p>
      <w:pPr>
        <w:pStyle w:val="Heading1"/>
      </w:pPr>
      <w:r>
        <w:t>Appendix A - Recommended Python Packages</w:t>
      </w:r>
    </w:p>
    <w:p>
      <w:r>
        <w:t>google-genai, langchain, langgraph, llama-index, fastapi, uvicorn, sentence-transformers, transformers, qdrant-client (optional), pinecone, sqlalchemy, pymupdf, pdfplumber, unstructured, python-docx, pandas, redis, celery.</w:t>
      </w:r>
    </w:p>
    <w:p>
      <w:pPr>
        <w:pStyle w:val="Heading1"/>
      </w:pPr>
      <w:r>
        <w:t>Appendix B - Frontend Packages</w:t>
      </w:r>
    </w:p>
    <w:p>
      <w:r>
        <w:t>next, react, typescript, tailwindcss, shadcn/ui, framer-motion, react-markdown, react-hook-form, zod, tanstack-query.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