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4F46E5"/>
          <w:sz w:val="44"/>
        </w:rPr>
        <w:t>RegPilot 合规审查报告</w:t>
      </w:r>
    </w:p>
    <w:p>
      <w:pPr>
        <w:spacing w:after="320"/>
        <w:jc w:val="center"/>
      </w:pPr>
      <w:r>
        <w:rPr>
          <w:color w:val="64748B"/>
          <w:sz w:val="24"/>
        </w:rPr>
        <w:t>Regulation Compliance Analysis Report</w:t>
      </w:r>
    </w:p>
    <w:p>
      <w:pPr>
        <w:spacing w:after="320"/>
        <w:jc w:val="center"/>
      </w:pPr>
      <w:r>
        <w:rPr>
          <w:color w:val="E2E8F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b/>
          <w:color w:val="4F46E5"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产品名称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SS27新品 - 自行车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产品类型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自行车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审查日期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2026-06-03 13:57:42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报告编号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RP-A7DC9B15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审查状态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法规体系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CPSC 16 CFR 1512 / CPSIA / UL 2849 / UL 2271</w:t>
            </w:r>
          </w:p>
        </w:tc>
      </w:tr>
    </w:tbl>
    <w:p/>
    <w:p>
      <w:pPr>
        <w:spacing w:after="200"/>
      </w:pPr>
      <w:r>
        <w:rPr>
          <w:b/>
          <w:color w:val="4F46E5"/>
          <w:sz w:val="28"/>
        </w:rPr>
        <w:t>二、合规概览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0FDF4" w:val="clear"/>
          </w:tcPr>
          <w:p>
            <w:pPr>
              <w:jc w:val="center"/>
            </w:pPr>
            <w:r>
              <w:rPr>
                <w:b/>
                <w:sz w:val="20"/>
              </w:rPr>
              <w:t>合规分数</w:t>
              <w:br/>
              <w:t>72.0</w:t>
            </w:r>
          </w:p>
        </w:tc>
        <w:tc>
          <w:tcPr>
            <w:tcW w:type="dxa" w:w="2351"/>
            <w:shd w:fill="FEF3C7" w:val="clear"/>
          </w:tcPr>
          <w:p>
            <w:pPr>
              <w:jc w:val="center"/>
            </w:pPr>
            <w:r>
              <w:rPr>
                <w:b/>
                <w:sz w:val="20"/>
              </w:rPr>
              <w:t>风险分数</w:t>
              <w:br/>
              <w:t>24.3</w:t>
            </w:r>
          </w:p>
        </w:tc>
        <w:tc>
          <w:tcPr>
            <w:tcW w:type="dxa" w:w="2351"/>
            <w:shd w:fill="FEF3C7" w:val="clear"/>
          </w:tcPr>
          <w:p>
            <w:pPr>
              <w:jc w:val="center"/>
            </w:pPr>
            <w:r>
              <w:rPr>
                <w:b/>
                <w:sz w:val="20"/>
              </w:rPr>
              <w:t>风险等级</w:t>
              <w:br/>
              <w:t>MEDIUM</w:t>
            </w:r>
          </w:p>
        </w:tc>
        <w:tc>
          <w:tcPr>
            <w:tcW w:type="dxa" w:w="2351"/>
            <w:shd w:fill="EEF2FF" w:val="clear"/>
          </w:tcPr>
          <w:p>
            <w:pPr>
              <w:jc w:val="center"/>
            </w:pPr>
            <w:r>
              <w:rPr>
                <w:b/>
                <w:sz w:val="20"/>
              </w:rPr>
              <w:t>合规状态</w:t>
              <w:br/>
              <w:t>部分合规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合规: 15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部分合规: 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待验证: 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不合规: 1</w:t>
            </w:r>
          </w:p>
        </w:tc>
      </w:tr>
    </w:tbl>
    <w:p/>
    <w:p>
      <w:pPr>
        <w:spacing w:after="200"/>
      </w:pPr>
      <w:r>
        <w:rPr>
          <w:b/>
          <w:color w:val="4F46E5"/>
          <w:sz w:val="28"/>
        </w:rPr>
        <w:t>三、适用法规</w:t>
      </w:r>
    </w:p>
    <w:p>
      <w:pPr>
        <w:spacing w:after="80"/>
      </w:pPr>
      <w:r>
        <w:rPr>
          <w:b w:val="0"/>
          <w:color w:val="334155"/>
          <w:sz w:val="20"/>
        </w:rPr>
        <w:t>• CPSC 1512  (§1512.10(a)、§1512.10(b)、§1512.11(a)、§1512.12、§1512.13(a)、§1512.14(a)、§1512.15(a)、§1512.15(b)、§1512.16(a) &amp; (c)、§1512.16(a) &amp; (d)、§1512.16(b) &amp; (f)、§1512.16(e) &amp; §1512.7(c)、§1512.17(a) &amp; §1512.18(p)、§1512.19(a)、§1512.19(a)(1)、§1512.19(b) &amp; (c)、§1512.19(e)、§1512.4(a)、§1512.4(b)、§1512.5(a)、§1512.5(b)(1)、§1512.5(b)(3)、§1512.5(b)(5)、§1512.6(b) &amp; §1512.18(g)、§1512.6(e)、§1512.7(a)、§1512.7(c)、§1512.9(b))</w:t>
      </w:r>
    </w:p>
    <w:p>
      <w:pPr>
        <w:spacing w:after="80"/>
      </w:pPr>
      <w:r>
        <w:rPr>
          <w:b w:val="0"/>
          <w:color w:val="334155"/>
          <w:sz w:val="20"/>
        </w:rPr>
        <w:t>• State/Local  (e.g., NY VTL §12336-b)</w:t>
      </w:r>
    </w:p>
    <w:p/>
    <w:p>
      <w:pPr>
        <w:spacing w:after="200"/>
      </w:pPr>
      <w:r>
        <w:rPr>
          <w:b/>
          <w:color w:val="4F46E5"/>
          <w:sz w:val="28"/>
        </w:rPr>
        <w:t>四、详细审查结果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规则ID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要求摘要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法规来源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性质</w:t>
            </w:r>
          </w:p>
        </w:tc>
      </w:tr>
      <w:tr>
        <w:tc>
          <w:tcPr>
            <w:tcW w:type="dxa" w:w="1176"/>
            <w:shd w:fill="FEF2F2" w:val="clea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76"/>
            <w:shd w:fill="FEF2F2" w:val="clear"/>
          </w:tcPr>
          <w:p>
            <w:r>
              <w:rPr>
                <w:sz w:val="16"/>
              </w:rPr>
              <w:t>BEL-001</w:t>
            </w:r>
          </w:p>
        </w:tc>
        <w:tc>
          <w:tcPr>
            <w:tcW w:type="dxa" w:w="1176"/>
            <w:shd w:fill="FEF2F2" w:val="clear"/>
          </w:tcPr>
          <w:p>
            <w:r>
              <w:rPr>
                <w:sz w:val="16"/>
              </w:rPr>
              <w:t>Bell</w:t>
            </w:r>
          </w:p>
        </w:tc>
        <w:tc>
          <w:tcPr>
            <w:tcW w:type="dxa" w:w="1176"/>
            <w:shd w:fill="FEF2F2" w:val="clear"/>
          </w:tcPr>
          <w:p>
            <w:r>
              <w:rPr>
                <w:sz w:val="16"/>
              </w:rPr>
              <w:t>Bell or audible warning device recommend...</w:t>
            </w:r>
          </w:p>
        </w:tc>
        <w:tc>
          <w:tcPr>
            <w:tcW w:type="dxa" w:w="1176"/>
            <w:shd w:fill="FEF2F2" w:val="clear"/>
          </w:tcPr>
          <w:p>
            <w:r>
              <w:rPr>
                <w:sz w:val="16"/>
              </w:rPr>
              <w:t>State/Local e.g., NY VTL §12336-b</w:t>
            </w:r>
          </w:p>
        </w:tc>
        <w:tc>
          <w:tcPr>
            <w:tcW w:type="dxa" w:w="1176"/>
            <w:shd w:fill="FEF2F2" w:val="clear"/>
          </w:tcPr>
          <w:p>
            <w:r>
              <w:rPr>
                <w:b/>
                <w:color w:val="DC2626"/>
                <w:sz w:val="16"/>
              </w:rPr>
              <w:t>不合规</w:t>
            </w:r>
          </w:p>
        </w:tc>
        <w:tc>
          <w:tcPr>
            <w:tcW w:type="dxa" w:w="1176"/>
            <w:shd w:fill="FEF2F2" w:val="clear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  <w:shd w:fill="FEF2F2" w:val="clear"/>
          </w:tcPr>
          <w:p>
            <w:r>
              <w:rPr>
                <w:sz w:val="16"/>
              </w:rPr>
              <w:t>建议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FRK-001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Front fork must absorb ≥39.5J energy wit...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§1512.13(a)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FRM-001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Frame/fork: withstand 890N or 39.5J at f...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§1512.14(a)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CHG-003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Chain Guard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Derailleur must have guard to prevent ch...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§1512.9(b)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WHL-001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Wheels must be securely attached; quick-...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§1512.11(a)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HUB-001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Hub axles must be securely fastened and 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§1512.12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TIR-002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Inflatable tires must have max pressure 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§1512.10(b)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Handbrake stopping distance ≤ 4.57m at 2...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§1512.5(b)(1)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TST-005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Stem: 2000N at 45° (1000N sidewalk) with...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§1512.6(b) &amp; §1512.18(g)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Handbrake grip dimension ≤ 89mm (76mm si...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§1512.5(b)(3)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Handbrake operating force &lt; 44.5N at 25m...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§1512.5(b)(5)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TST-003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Non-sidewalk bikes must pass 6.4km road 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§1512.17(a) &amp; §1512.18(p)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Mechanical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No exposed sharp edges on any user-conta...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§1512.4(a)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Seat post must have permanent min-insert...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§1512.15(b)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Unassembled bikes must show required too...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§1512.19(b) &amp; (c)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have essentially colorless front re...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§1512.16(a) &amp; (c)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have red rear reflector on seat pos...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§1512.16(a) &amp; (d)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Pedals must have colorless or amber refl...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§1512.16(e) &amp; §1512.7(c)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Wheels must have side reflectors (tire/s...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§1512.16(b) &amp; (f)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have front and rear brakes or rear-...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TIR-001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Tires must stay on rim at max rated pres...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§1512.10(a)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Mechanical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No protrusions; handlebar caps ≥66.8N; c...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§1512.4(b)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WRN-002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Manual must warn about over-tightening 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§1512.6(e)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WRN-003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Manual must include night riding safety 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§1512.19(a)(1)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WRN-004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Manual must include wet weather operatio...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§1512.19(a)(1)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FRM-002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Seat post clamp must hold seat post secu...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§1512.15(a)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Frame must have permanent label with man...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§1512.19(e)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include instruction manual with ope...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Pedals must have anti-slip tread on both...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§1512.7(a)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Pedal reflectors must be colorless or am...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§1512.7(c)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</w:tbl>
    <w:p/>
    <w:p>
      <w:pPr>
        <w:spacing w:after="200"/>
      </w:pPr>
      <w:r>
        <w:rPr>
          <w:b/>
          <w:color w:val="DC2626"/>
          <w:sz w:val="28"/>
        </w:rPr>
        <w:t>五、不合规项与部分合规项</w:t>
      </w:r>
    </w:p>
    <w:p>
      <w:pPr>
        <w:spacing w:after="40"/>
      </w:pPr>
      <w:r>
        <w:rPr>
          <w:b/>
          <w:color w:val="1E293B"/>
          <w:sz w:val="22"/>
        </w:rPr>
        <w:t>1. [BEL-001] Bell or audible warning device recommended (required by some states, not federal CPSC 1512)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法规来源：State/Local e.g., NY VTL §12336-b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状态：不合规 | 风险：轻微 | 性质：建议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差距描述：缺失：Bell or audible warning device recommended (required by some states, not federal CPSC 1512)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整改建议：Install a bell or equivalent audible warning device if the product is intended for sale in jurisdictions that require it (e.g., New York, Georgia).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后果：Customs Hold</w:t>
      </w:r>
    </w:p>
    <w:p>
      <w:pPr>
        <w:spacing w:after="40"/>
      </w:pPr>
      <w:r>
        <w:rPr>
          <w:b/>
          <w:color w:val="1E293B"/>
          <w:sz w:val="22"/>
        </w:rPr>
        <w:t>2. [FRK-001] Front fork must absorb ≥39.5J energy with ≤64mm deflection; no fractures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§1512.13(a)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风险：严重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front fork passes static load test at 400N without permanent deformation per §1512.13(a).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后果：Recall；CPSC Fine；Lawsuit</w:t>
      </w:r>
    </w:p>
    <w:p>
      <w:pPr>
        <w:spacing w:after="40"/>
      </w:pPr>
      <w:r>
        <w:rPr>
          <w:b/>
          <w:color w:val="1E293B"/>
          <w:sz w:val="22"/>
        </w:rPr>
        <w:t>3. [FRM-001] Frame/fork: withstand 890N or 39.5J at fork axle; no fracture or steering limit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§1512.14(a)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风险：严重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frame and fork assembly passes road test without structural failure per §1512.14(a).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后果：Recall；CPSC Fine；Lawsuit</w:t>
      </w:r>
    </w:p>
    <w:p>
      <w:pPr>
        <w:spacing w:after="40"/>
      </w:pPr>
      <w:r>
        <w:rPr>
          <w:b/>
          <w:color w:val="1E293B"/>
          <w:sz w:val="22"/>
        </w:rPr>
        <w:t>4. [CHG-003] Derailleur must have guard to prevent chain from blocking wheel rotation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§1512.9(b)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风险：重要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整改建议：Install a derailleur guard that prevents chain from interfering with or stopping wheel rotation per §1512.9(b).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后果：Customs Hold；Lawsuit</w:t>
      </w:r>
    </w:p>
    <w:p>
      <w:pPr>
        <w:spacing w:after="40"/>
      </w:pPr>
      <w:r>
        <w:rPr>
          <w:b/>
          <w:color w:val="1E293B"/>
          <w:sz w:val="22"/>
        </w:rPr>
        <w:t>5. [WHL-001] Wheels must be securely attached; quick-release must have positive locking and open/closed markings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§1512.11(a)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风险：重要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wheels are securely attached and quick-release mechanisms have positive locking with open/closed markings per §1512.11(a).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后果：Recall；Customs Hold；Lawsuit</w:t>
      </w:r>
    </w:p>
    <w:p>
      <w:pPr>
        <w:spacing w:after="40"/>
      </w:pPr>
      <w:r>
        <w:rPr>
          <w:b/>
          <w:color w:val="1E293B"/>
          <w:sz w:val="22"/>
        </w:rPr>
        <w:t>6. [HUB-001] Hub axles must be securely fastened and not loosen during normal use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§1512.12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风险：重要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hub axles are properly tightened to manufacturer's specified torque per §1512.12.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后果：Customs Hold；Lawsuit</w:t>
      </w:r>
    </w:p>
    <w:p>
      <w:pPr>
        <w:spacing w:after="40"/>
      </w:pPr>
      <w:r>
        <w:rPr>
          <w:b/>
          <w:color w:val="1E293B"/>
          <w:sz w:val="22"/>
        </w:rPr>
        <w:t>7. [TIR-002] Inflatable tires must have max pressure rating marked on sidewall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§1512.10(b)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风险：轻微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整改建议：Mark maximum inflation pressure on tire sidewall per §1512.10(b).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后果：Customs Hold</w:t>
      </w:r>
    </w:p>
    <w:p>
      <w:pPr>
        <w:spacing w:after="200"/>
      </w:pPr>
      <w:r>
        <w:rPr>
          <w:b/>
          <w:color w:val="D97706"/>
          <w:sz w:val="28"/>
        </w:rPr>
        <w:t>六、待验证项</w:t>
      </w:r>
    </w:p>
    <w:p>
      <w:pPr>
        <w:spacing w:after="40"/>
      </w:pPr>
      <w:r>
        <w:rPr>
          <w:b/>
          <w:color w:val="1E293B"/>
          <w:sz w:val="22"/>
        </w:rPr>
        <w:t>1. [FRK-001] Front fork must absorb ≥39.5J energy with ≤64mm deflection; no fractures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需提供的验证材料：测试报告：Front fork static load test report per §1512.13(a) showing no permanent deformation at 400N</w:t>
      </w:r>
    </w:p>
    <w:p>
      <w:pPr>
        <w:spacing w:after="40"/>
      </w:pPr>
      <w:r>
        <w:rPr>
          <w:b/>
          <w:color w:val="1E293B"/>
          <w:sz w:val="22"/>
        </w:rPr>
        <w:t>2. [FRM-001] Frame/fork: withstand 890N or 39.5J at fork axle; no fracture or steering limit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需提供的验证材料：测试报告：Frame assembly road test report per §1512.18(p) showing no structural failure</w:t>
      </w:r>
    </w:p>
    <w:p>
      <w:pPr>
        <w:spacing w:after="40"/>
      </w:pPr>
      <w:r>
        <w:rPr>
          <w:b/>
          <w:color w:val="1E293B"/>
          <w:sz w:val="22"/>
        </w:rPr>
        <w:t>3. [CHG-003] Derailleur must have guard to prevent chain from blocking wheel rotation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derailleur guard installed</w:t>
      </w:r>
    </w:p>
    <w:p>
      <w:pPr>
        <w:spacing w:after="40"/>
      </w:pPr>
      <w:r>
        <w:rPr>
          <w:b/>
          <w:color w:val="1E293B"/>
          <w:sz w:val="22"/>
        </w:rPr>
        <w:t>4. [WHL-001] Wheels must be securely attached; quick-release must have positive locking and open/closed markings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quick-release mechanism with open/closed position markings</w:t>
      </w:r>
    </w:p>
    <w:p>
      <w:pPr>
        <w:spacing w:after="40"/>
      </w:pPr>
      <w:r>
        <w:rPr>
          <w:b/>
          <w:color w:val="1E293B"/>
          <w:sz w:val="22"/>
        </w:rPr>
        <w:t>5. [HUB-001] Hub axles must be securely fastened and not loosen during normal use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documenting hub axle torque specifications</w:t>
      </w:r>
    </w:p>
    <w:p>
      <w:pPr>
        <w:spacing w:after="40"/>
      </w:pPr>
      <w:r>
        <w:rPr>
          <w:b/>
          <w:color w:val="1E293B"/>
          <w:sz w:val="22"/>
        </w:rPr>
        <w:t>6. [TIR-002] Inflatable tires must have max pressure rating marked on sidewall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tire sidewall pressure marking</w:t>
      </w:r>
    </w:p>
    <w:p>
      <w:pPr>
        <w:spacing w:after="40"/>
      </w:pPr>
      <w:r>
        <w:rPr>
          <w:b/>
          <w:color w:val="1E293B"/>
          <w:sz w:val="22"/>
        </w:rPr>
        <w:t>7. [BRK-002] Handbrake stopping distance ≤ 4.57m at 24km/h (or 16km/h if max speed &lt;24km/h), lever force ≤178N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需提供的验证材料：测试报告：Third-party lab report showing braking distance test results per §1512.18(d)(2)(vi)</w:t>
      </w:r>
    </w:p>
    <w:p>
      <w:pPr>
        <w:spacing w:after="40"/>
      </w:pPr>
      <w:r>
        <w:rPr>
          <w:b/>
          <w:color w:val="1E293B"/>
          <w:sz w:val="22"/>
        </w:rPr>
        <w:t>8. [TST-005] Stem: 2000N at 45° (1000N sidewalk) without fracture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需提供的验证材料：测试报告：Handlebar stem strength test report per §1512.6(b) &amp; §1512.18(g)</w:t>
      </w:r>
    </w:p>
    <w:p>
      <w:pPr>
        <w:spacing w:after="40"/>
      </w:pPr>
      <w:r>
        <w:rPr>
          <w:b/>
          <w:color w:val="1E293B"/>
          <w:sz w:val="22"/>
        </w:rPr>
        <w:t>9. [BRK-003] Handbrake grip dimension ≤ 89mm (76mm sidewalk); max increase 12.7mm toward open end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or drawing showing handbrake grip dimension measurement</w:t>
      </w:r>
    </w:p>
    <w:p>
      <w:pPr>
        <w:spacing w:after="40"/>
      </w:pPr>
      <w:r>
        <w:rPr>
          <w:b/>
          <w:color w:val="1E293B"/>
          <w:sz w:val="22"/>
        </w:rPr>
        <w:t>10. [BRK-004] Handbrake operating force &lt; 44.5N at 25mm from open end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需提供的验证材料：测试报告：Test report showing handbrake operating force measurement</w:t>
      </w:r>
    </w:p>
    <w:p>
      <w:pPr>
        <w:spacing w:after="40"/>
      </w:pPr>
      <w:r>
        <w:rPr>
          <w:b/>
          <w:color w:val="1E293B"/>
          <w:sz w:val="22"/>
        </w:rPr>
        <w:t>11. [TST-003] Non-sidewalk bikes must pass 6.4km road test with 68.1kg rider and 5 bump passes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需提供的验证材料：测试报告：Road test report per §1512.17(a) &amp; §1512.18(p) with test conditions and results</w:t>
      </w:r>
    </w:p>
    <w:p>
      <w:pPr>
        <w:spacing w:after="40"/>
      </w:pPr>
      <w:r>
        <w:rPr>
          <w:b/>
          <w:color w:val="1E293B"/>
          <w:sz w:val="22"/>
        </w:rPr>
        <w:t>12. [MEC-001] No exposed sharp edges on any user-contactable parts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需提供的验证材料：测试报告：Sharp edge test report per 16 CFR 1500.49 showing no accessible sharp edges；产品照片：Product photos showing all edges are smoothed or rolled</w:t>
      </w:r>
    </w:p>
    <w:p>
      <w:pPr>
        <w:spacing w:after="40"/>
      </w:pPr>
      <w:r>
        <w:rPr>
          <w:b/>
          <w:color w:val="1E293B"/>
          <w:sz w:val="22"/>
        </w:rPr>
        <w:t>13. [LBL-003] Seat post must have permanent min-insertion mark ≥2.5× diameter from bottom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or drawing noting seat post minimum insertion depth mark；产品照片：Product photo showing insertion depth mark on seat post</w:t>
      </w:r>
    </w:p>
    <w:p>
      <w:pPr>
        <w:spacing w:after="40"/>
      </w:pPr>
      <w:r>
        <w:rPr>
          <w:b/>
          <w:color w:val="1E293B"/>
          <w:sz w:val="22"/>
        </w:rPr>
        <w:t>14. [LBL-005] Unassembled bikes must show required tools and min leg length on packaging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需提供的验证材料：包装照片：Shipping carton photo showing required tools list and minimum leg length diagram；包装照片：Promotional display material sample showing required markings</w:t>
      </w:r>
    </w:p>
    <w:p>
      <w:pPr>
        <w:spacing w:after="40"/>
      </w:pPr>
      <w:r>
        <w:rPr>
          <w:b/>
          <w:color w:val="1E293B"/>
          <w:sz w:val="22"/>
        </w:rPr>
        <w:t>15. [REF-001] Must have essentially colorless front reflector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需提供的验证材料：测试报告：Reflector performance test report per Table 1 &amp; 2 of §1512.16</w:t>
      </w:r>
    </w:p>
    <w:p>
      <w:pPr>
        <w:spacing w:after="40"/>
      </w:pPr>
      <w:r>
        <w:rPr>
          <w:b/>
          <w:color w:val="1E293B"/>
          <w:sz w:val="22"/>
        </w:rPr>
        <w:t>16. [REF-002] Must have red rear reflector on seat post, top ≥76mm below seat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must confirm rear reflector mounting position relative to seat post；测试报告：Reflector performance test report per §1512.16(d)</w:t>
      </w:r>
    </w:p>
    <w:p>
      <w:pPr>
        <w:spacing w:after="40"/>
      </w:pPr>
      <w:r>
        <w:rPr>
          <w:b/>
          <w:color w:val="1E293B"/>
          <w:sz w:val="22"/>
        </w:rPr>
        <w:t>17. [REF-003] Pedals must have colorless or amber reflectors on front and rear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需提供的验证材料：测试报告：Pedal reflector performance test report per §1512.16(e)</w:t>
      </w:r>
    </w:p>
    <w:p>
      <w:pPr>
        <w:spacing w:after="40"/>
      </w:pPr>
      <w:r>
        <w:rPr>
          <w:b/>
          <w:color w:val="1E293B"/>
          <w:sz w:val="22"/>
        </w:rPr>
        <w:t>18. [REF-004] Wheels must have side reflectors (tire/spoke/rim); front: colorless/amber, rear: colorless/red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需提供的验证材料：测试报告：Side reflector performance test report per §1512.16(f)</w:t>
      </w:r>
    </w:p>
    <w:p>
      <w:pPr>
        <w:spacing w:after="40"/>
      </w:pPr>
      <w:r>
        <w:rPr>
          <w:b/>
          <w:color w:val="1E293B"/>
          <w:sz w:val="22"/>
        </w:rPr>
        <w:t>19. [TIR-001] Tires must stay on rim at max rated pressure for 2 hours without separation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需提供的验证材料：测试报告：Tire retention test report per §1512.10(a) showing no tire-rim separation at max rated pressure</w:t>
      </w:r>
    </w:p>
    <w:p>
      <w:pPr>
        <w:spacing w:after="40"/>
      </w:pPr>
      <w:r>
        <w:rPr>
          <w:b/>
          <w:color w:val="1E293B"/>
          <w:sz w:val="22"/>
        </w:rPr>
        <w:t>20. [MEC-002] No protrusions; handlebar caps ≥66.8N; cable ends capped; cables no abrasion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handlebar ends properly capped and cables properly routed</w:t>
      </w:r>
    </w:p>
    <w:p>
      <w:pPr>
        <w:spacing w:after="40"/>
      </w:pPr>
      <w:r>
        <w:rPr>
          <w:b/>
          <w:color w:val="1E293B"/>
          <w:sz w:val="22"/>
        </w:rPr>
        <w:t>21. [FRM-002] Seat post clamp must hold seat post securely without slipping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需提供的验证材料：测试报告：Seat post clamp holding test report per §1512.15(a) showing no slippage</w:t>
      </w:r>
    </w:p>
    <w:p>
      <w:pPr>
        <w:spacing w:after="40"/>
      </w:pPr>
      <w:r>
        <w:rPr>
          <w:b/>
          <w:color w:val="1E293B"/>
          <w:sz w:val="22"/>
        </w:rPr>
        <w:t>22. [PED-001] Pedals must have anti-slip tread on both sides or self-right, no sharp edges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pedal tread surfaces on both sides or self-righting design</w:t>
      </w:r>
    </w:p>
    <w:p>
      <w:pPr>
        <w:spacing w:after="40"/>
      </w:pPr>
      <w:r>
        <w:rPr>
          <w:b/>
          <w:color w:val="1E293B"/>
          <w:sz w:val="22"/>
        </w:rPr>
        <w:t>23. [PED-002] Pedal reflectors must be colorless or amber, meeting §1512.16(e) photometric requirements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需提供的验证材料：测试报告：Pedal reflector photometric test report per §1512.16(e)</w:t>
      </w:r>
    </w:p>
    <w:p>
      <w:pPr>
        <w:spacing w:after="200"/>
      </w:pPr>
      <w:r>
        <w:rPr>
          <w:b/>
          <w:color w:val="4F46E5"/>
          <w:sz w:val="28"/>
        </w:rPr>
        <w:t>七、产品组件清单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原始名称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标准名称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Ozark Trail 24" MTB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烤漆车架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frame_main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frame_main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贴花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前叉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fork_front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前叉组件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headset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垫圈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车把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立管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handlebar_stem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把套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handlebar_grip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车把端塞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刹把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brake_lever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前刹车器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handbrake_front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后刹车器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handbrake_rear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碟刹盘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brake_disc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前刹车线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brake_cable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后刹车线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brake_cable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车圈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rim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前花鼓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hub_front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后花鼓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hub_rear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外胎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tire_front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内胎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inner_tube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衬带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rim_tape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轮反光片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reflector_spoke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飞轮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freewheel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钢丝保护盘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链条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chain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中轴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bottom_bracket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链轮曲柄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crankset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后拨链器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derailleur_rear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右变速手柄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shifter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变速线管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shifter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变速线管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shifter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变速线管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shifter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鞍座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seat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鞍管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seat_post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鞍管快拆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seat_clamp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脚踏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pedal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前反光片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前反光片架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后反光片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后反光片架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说明书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吊卡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轮卡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产品照片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AD标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警告标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RFID标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停车架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kickstand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工具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tool_kit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大纸箱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零件纸盒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鞍座套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seat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曲柄套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crankset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曲柄套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crankset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扎带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扎带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瓦楞纸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瓦楞纸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瓦楞纸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瓦楞纸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瓦楞纸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瓦楞纸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瓦楞纸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保护杆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前轮保护片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保护片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保护片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</w:tbl>
    <w:p/>
    <w:p>
      <w:pPr>
        <w:jc w:val="center"/>
      </w:pPr>
      <w:r>
        <w:rPr>
          <w:color w:val="E2E8F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b w:val="0"/>
          <w:color w:val="64748B"/>
          <w:sz w:val="18"/>
        </w:rPr>
        <w:t>免责声明：本报告由 RegPilot 系统基于上传的 BOM 数据自动生成，仅供参考。实际合规状态应以第三方实验室测试报告和法规原文为准。</w:t>
      </w:r>
    </w:p>
    <w:p>
      <w:pPr>
        <w:spacing w:after="120"/>
        <w:jc w:val="center"/>
      </w:pPr>
      <w:r>
        <w:rPr>
          <w:b w:val="0"/>
          <w:color w:val="64748B"/>
          <w:sz w:val="16"/>
        </w:rPr>
        <w:t>Generated by RegPilot v1.0 | 2026-06-03 13:57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