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2018年9月10日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4、复习（复习计划表）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2018年9月11日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3、清空Pocket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2018年9月12日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</w:t>
            </w:r>
            <w:bookmarkStart w:id="7" w:name="_GoBack"/>
            <w:bookmarkEnd w:id="7"/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2018年9月13日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2018年9月14日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2018年9月15日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2018年9月16日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    ---------&gt;&gt;&gt; 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公众号阅读+其他APP阅读+微信阅读 -----&gt;&gt; 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3、全民k歌 可能否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0575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44817D0"/>
    <w:rsid w:val="054E56D5"/>
    <w:rsid w:val="05A24D7D"/>
    <w:rsid w:val="0634789C"/>
    <w:rsid w:val="09811CB3"/>
    <w:rsid w:val="0F0E3E36"/>
    <w:rsid w:val="10207810"/>
    <w:rsid w:val="10C07AE4"/>
    <w:rsid w:val="10F51BF6"/>
    <w:rsid w:val="11E5515F"/>
    <w:rsid w:val="14353475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8AF419D"/>
    <w:rsid w:val="29E045BC"/>
    <w:rsid w:val="2CA878C5"/>
    <w:rsid w:val="2D07301E"/>
    <w:rsid w:val="2D8F47DE"/>
    <w:rsid w:val="2E6B780D"/>
    <w:rsid w:val="2FEF23B9"/>
    <w:rsid w:val="31F935E0"/>
    <w:rsid w:val="356FAF34"/>
    <w:rsid w:val="35CF367C"/>
    <w:rsid w:val="362579BB"/>
    <w:rsid w:val="371C6503"/>
    <w:rsid w:val="37B13112"/>
    <w:rsid w:val="3A6442DD"/>
    <w:rsid w:val="3C7A121B"/>
    <w:rsid w:val="3CE36431"/>
    <w:rsid w:val="3F952013"/>
    <w:rsid w:val="3F987734"/>
    <w:rsid w:val="41A65F6A"/>
    <w:rsid w:val="42BB4AF1"/>
    <w:rsid w:val="476E6F5A"/>
    <w:rsid w:val="4B12215E"/>
    <w:rsid w:val="4D3849A2"/>
    <w:rsid w:val="500C6CB0"/>
    <w:rsid w:val="51AB4A01"/>
    <w:rsid w:val="54991A34"/>
    <w:rsid w:val="56EA6B67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940261A"/>
    <w:rsid w:val="69A53FB2"/>
    <w:rsid w:val="6AA346EB"/>
    <w:rsid w:val="6C063404"/>
    <w:rsid w:val="6D8971BD"/>
    <w:rsid w:val="6F5B0765"/>
    <w:rsid w:val="6FE86819"/>
    <w:rsid w:val="70614A50"/>
    <w:rsid w:val="71991E7A"/>
    <w:rsid w:val="768B19DB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28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2018-09-13T08:12:46Z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