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color w:val="1A2E4A"/>
          <w:sz w:val="36"/>
        </w:rPr>
        <w:t>Concern to Measure</w:t>
      </w:r>
    </w:p>
    <w:p>
      <w:pPr>
        <w:spacing w:before="40" w:after="40"/>
        <w:pBdr>
          <w:bottom w:val="single" w:sz="6" w:space="1" w:color="2D6A9F"/>
        </w:pBdr>
      </w:pPr>
    </w:p>
    <w:p>
      <w:pPr>
        <w:spacing w:before="0" w:after="40"/>
      </w:pPr>
      <w:r>
        <w:rPr>
          <w:i/>
          <w:color w:val="555555"/>
          <w:sz w:val="15"/>
        </w:rPr>
        <w:t>Convert stakeholder language into structured concerns, scenarios, and measurable requirement instances. Follows ISO/IEC/IEEE 42010:2011 and TOGAF / BCS guidance. Allow 10–20 minutes per statement.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644"/>
            <w:shd w:val="clear" w:color="auto" w:fill="C5D8EC"/>
            <w:tcBorders>
              <w:top w:val="single" w:sz="4" w:color="A0B8D0"/>
              <w:bottom w:val="single" w:sz="4" w:color="A0B8D0"/>
              <w:left w:val="single" w:sz="4" w:color="A0B8D0"/>
              <w:right w:val="single" w:sz="4" w:color="A0B8D0"/>
            </w:tcBorders>
          </w:tcPr>
          <w:p>
            <w:pPr>
              <w:jc w:val="center"/>
              <w:spacing w:before="80" w:after="80"/>
            </w:pPr>
            <w:r>
              <w:rPr>
                <w:b/>
                <w:sz w:val="15"/>
              </w:rPr>
              <w:t>A</w:t>
            </w:r>
            <w:r>
              <w:rPr>
                <w:sz w:val="14"/>
              </w:rPr>
              <w:br/>
              <w:t>Raw statement</w:t>
              <w:br/>
              <w:t>(verbatim)</w:t>
            </w:r>
          </w:p>
        </w:tc>
        <w:tc>
          <w:tcPr>
            <w:tcW w:type="dxa" w:w="1644"/>
            <w:shd w:val="clear" w:color="auto" w:fill="E8F0F7"/>
            <w:tcBorders>
              <w:top w:val="single" w:sz="4" w:color="A0B8D0"/>
              <w:bottom w:val="single" w:sz="4" w:color="A0B8D0"/>
              <w:left w:val="single" w:sz="4" w:color="A0B8D0"/>
              <w:right w:val="single" w:sz="4" w:color="A0B8D0"/>
            </w:tcBorders>
          </w:tcPr>
          <w:p>
            <w:pPr>
              <w:jc w:val="center"/>
              <w:spacing w:before="80" w:after="80"/>
            </w:pPr>
            <w:r>
              <w:rPr>
                <w:b/>
                <w:sz w:val="15"/>
              </w:rPr>
              <w:t>B</w:t>
            </w:r>
            <w:r>
              <w:rPr>
                <w:sz w:val="14"/>
              </w:rPr>
              <w:br/>
              <w:t>Classify</w:t>
              <w:br/>
              <w:t>concern type</w:t>
            </w:r>
          </w:p>
        </w:tc>
        <w:tc>
          <w:tcPr>
            <w:tcW w:type="dxa" w:w="1644"/>
            <w:shd w:val="clear" w:color="auto" w:fill="E8F0F7"/>
            <w:tcBorders>
              <w:top w:val="single" w:sz="4" w:color="A0B8D0"/>
              <w:bottom w:val="single" w:sz="4" w:color="A0B8D0"/>
              <w:left w:val="single" w:sz="4" w:color="A0B8D0"/>
              <w:right w:val="single" w:sz="4" w:color="A0B8D0"/>
            </w:tcBorders>
          </w:tcPr>
          <w:p>
            <w:pPr>
              <w:jc w:val="center"/>
              <w:spacing w:before="80" w:after="80"/>
            </w:pPr>
            <w:r>
              <w:rPr>
                <w:b/>
                <w:sz w:val="15"/>
              </w:rPr>
              <w:t>C</w:t>
            </w:r>
            <w:r>
              <w:rPr>
                <w:sz w:val="14"/>
              </w:rPr>
              <w:br/>
              <w:t>Reframe as</w:t>
              <w:br/>
              <w:t>a concern</w:t>
            </w:r>
          </w:p>
        </w:tc>
        <w:tc>
          <w:tcPr>
            <w:tcW w:type="dxa" w:w="1644"/>
            <w:shd w:val="clear" w:color="auto" w:fill="E8F0F7"/>
            <w:tcBorders>
              <w:top w:val="single" w:sz="4" w:color="A0B8D0"/>
              <w:bottom w:val="single" w:sz="4" w:color="A0B8D0"/>
              <w:left w:val="single" w:sz="4" w:color="A0B8D0"/>
              <w:right w:val="single" w:sz="4" w:color="A0B8D0"/>
            </w:tcBorders>
          </w:tcPr>
          <w:p>
            <w:pPr>
              <w:jc w:val="center"/>
              <w:spacing w:before="80" w:after="80"/>
            </w:pPr>
            <w:r>
              <w:rPr>
                <w:b/>
                <w:sz w:val="15"/>
              </w:rPr>
              <w:t>D</w:t>
            </w:r>
            <w:r>
              <w:rPr>
                <w:sz w:val="14"/>
              </w:rPr>
              <w:br/>
              <w:t>Scenario</w:t>
              <w:br/>
              <w:t>(env/stim/resp)</w:t>
            </w:r>
          </w:p>
        </w:tc>
        <w:tc>
          <w:tcPr>
            <w:tcW w:type="dxa" w:w="1644"/>
            <w:shd w:val="clear" w:color="auto" w:fill="E8F0F7"/>
            <w:tcBorders>
              <w:top w:val="single" w:sz="4" w:color="A0B8D0"/>
              <w:bottom w:val="single" w:sz="4" w:color="A0B8D0"/>
              <w:left w:val="single" w:sz="4" w:color="A0B8D0"/>
              <w:right w:val="single" w:sz="4" w:color="A0B8D0"/>
            </w:tcBorders>
          </w:tcPr>
          <w:p>
            <w:pPr>
              <w:jc w:val="center"/>
              <w:spacing w:before="80" w:after="80"/>
            </w:pPr>
            <w:r>
              <w:rPr>
                <w:b/>
                <w:sz w:val="15"/>
              </w:rPr>
              <w:t>E</w:t>
            </w:r>
            <w:r>
              <w:rPr>
                <w:sz w:val="14"/>
              </w:rPr>
              <w:br/>
              <w:t>Measure</w:t>
              <w:br/>
              <w:t>(metric+evidence)</w:t>
            </w:r>
          </w:p>
        </w:tc>
        <w:tc>
          <w:tcPr>
            <w:tcW w:type="dxa" w:w="1644"/>
            <w:shd w:val="clear" w:color="auto" w:fill="C5D8EC"/>
            <w:tcBorders>
              <w:top w:val="single" w:sz="4" w:color="A0B8D0"/>
              <w:bottom w:val="single" w:sz="4" w:color="A0B8D0"/>
              <w:left w:val="single" w:sz="4" w:color="A0B8D0"/>
              <w:right w:val="single" w:sz="4" w:color="A0B8D0"/>
            </w:tcBorders>
          </w:tcPr>
          <w:p>
            <w:pPr>
              <w:jc w:val="center"/>
              <w:spacing w:before="80" w:after="80"/>
            </w:pPr>
            <w:r>
              <w:rPr>
                <w:b/>
                <w:sz w:val="15"/>
              </w:rPr>
              <w:t>F</w:t>
            </w:r>
            <w:r>
              <w:rPr>
                <w:sz w:val="14"/>
              </w:rPr>
              <w:br/>
              <w:t>Requirement</w:t>
              <w:br/>
              <w:t>instance (SMART)</w:t>
            </w:r>
          </w:p>
        </w:tc>
      </w:tr>
    </w:tbl>
    <w:p>
      <w:pPr>
        <w:spacing w:before="0" w:after="40"/>
      </w:pPr>
      <w:r>
        <w:rPr>
          <w:i/>
          <w:color w:val="555555"/>
          <w:sz w:val="15"/>
        </w:rPr>
        <w:t>Figure: Raw statement → Classify → Reframe → Scenario → Measure → Requirement instance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866"/>
      </w:tblGrid>
      <w:tr>
        <w:tc>
          <w:tcPr>
            <w:tcW w:type="dxa" w:w="9866"/>
            <w:shd w:val="clear" w:color="auto" w:fill="1A2E4A"/>
          </w:tcPr>
          <w:p>
            <w:pPr>
              <w:jc w:val="left"/>
              <w:spacing w:before="40" w:after="40"/>
            </w:pPr>
            <w:r>
              <w:rPr>
                <w:b/>
                <w:color w:val="FFFFFF"/>
                <w:sz w:val="22"/>
              </w:rPr>
              <w:t>1 · Raw Statement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89"/>
        <w:gridCol w:w="3289"/>
        <w:gridCol w:w="3289"/>
      </w:tblGrid>
      <w:tr>
        <w:tc>
          <w:tcPr>
            <w:tcW w:type="dxa" w:w="3289"/>
            <w:tcW w:w="3269" w:type="dxa"/>
          </w:tcPr>
          <w:p>
            <w:pPr>
              <w:spacing w:before="40" w:after="40"/>
            </w:pPr>
            <w:r>
              <w:rPr>
                <w:b/>
                <w:color w:val="1A2E4A"/>
                <w:sz w:val="16"/>
              </w:rPr>
              <w:t>Who / role: ___________________________</w:t>
            </w:r>
          </w:p>
        </w:tc>
        <w:tc>
          <w:tcPr>
            <w:tcW w:type="dxa" w:w="3289"/>
            <w:tcW w:w="3269" w:type="dxa"/>
          </w:tcPr>
          <w:p>
            <w:pPr>
              <w:spacing w:before="40" w:after="40"/>
            </w:pPr>
            <w:r>
              <w:rPr>
                <w:b/>
                <w:color w:val="1A2E4A"/>
                <w:sz w:val="16"/>
              </w:rPr>
              <w:t>Date: ____________________</w:t>
            </w:r>
          </w:p>
        </w:tc>
        <w:tc>
          <w:tcPr>
            <w:tcW w:type="dxa" w:w="3289"/>
            <w:tcW w:w="3269" w:type="dxa"/>
          </w:tcPr>
          <w:p>
            <w:pPr>
              <w:spacing w:before="40" w:after="40"/>
            </w:pPr>
            <w:r>
              <w:rPr>
                <w:b/>
                <w:color w:val="1A2E4A"/>
                <w:sz w:val="16"/>
              </w:rPr>
              <w:t>System / service: ___________________________</w:t>
            </w:r>
          </w:p>
        </w:tc>
      </w:tr>
    </w:tbl>
    <w:p>
      <w:pPr>
        <w:spacing w:before="120" w:after="0"/>
      </w:pPr>
      <w:r>
        <w:rPr>
          <w:b/>
          <w:color w:val="1A2E4A"/>
          <w:sz w:val="17"/>
        </w:rPr>
        <w:t>Raw statement (verbatim):</w:t>
      </w:r>
    </w:p>
    <w:p>
      <w:pPr>
        <w:spacing w:before="280" w:after="0"/>
        <w:pBdr>
          <w:bottom w:val="single" w:sz="4" w:space="1" w:color="A0B8D0"/>
        </w:pBdr>
      </w:pPr>
    </w:p>
    <w:p>
      <w:pPr>
        <w:spacing w:before="280" w:after="0"/>
        <w:pBdr>
          <w:bottom w:val="single" w:sz="4" w:space="1" w:color="A0B8D0"/>
        </w:pBdr>
      </w:pPr>
    </w:p>
    <w:p>
      <w:pPr>
        <w:spacing w:before="120" w:after="0"/>
      </w:pPr>
      <w:r>
        <w:rPr>
          <w:b/>
          <w:color w:val="1A2E4A"/>
          <w:sz w:val="17"/>
        </w:rPr>
        <w:t>Context — when / where / which user journey or business scenario:</w:t>
      </w:r>
    </w:p>
    <w:p>
      <w:pPr>
        <w:spacing w:before="0" w:after="0"/>
      </w:pPr>
      <w:r>
        <w:rPr>
          <w:i/>
          <w:color w:val="555555"/>
          <w:sz w:val="15"/>
        </w:rPr>
        <w:t>Include environment assumptions: peak / normal / degraded  ·  locations  ·  user groups.</w:t>
      </w:r>
    </w:p>
    <w:p>
      <w:pPr>
        <w:spacing w:before="280" w:after="0"/>
        <w:pBdr>
          <w:bottom w:val="single" w:sz="4" w:space="1" w:color="A0B8D0"/>
        </w:pBdr>
      </w:pPr>
    </w:p>
    <w:p>
      <w:pPr>
        <w:spacing w:before="280" w:after="0"/>
        <w:pBdr>
          <w:bottom w:val="single" w:sz="4" w:space="1" w:color="A0B8D0"/>
        </w:pBdr>
      </w:pPr>
    </w:p>
    <w:p>
      <w:pPr>
        <w:spacing w:before="120" w:after="0"/>
      </w:pPr>
      <w:r>
        <w:rPr>
          <w:b/>
          <w:color w:val="1A2E4A"/>
          <w:sz w:val="17"/>
        </w:rPr>
        <w:t>Impact — what is at risk (harm / cost / delay / compliance / operations):</w:t>
      </w:r>
    </w:p>
    <w:p>
      <w:pPr>
        <w:spacing w:before="280" w:after="0"/>
        <w:pBdr>
          <w:bottom w:val="single" w:sz="4" w:space="1" w:color="A0B8D0"/>
        </w:pBdr>
      </w:pPr>
    </w:p>
    <w:p>
      <w:pPr>
        <w:spacing w:before="280" w:after="0"/>
        <w:pBdr>
          <w:bottom w:val="single" w:sz="4" w:space="1" w:color="A0B8D0"/>
        </w:pBdr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866"/>
      </w:tblGrid>
      <w:tr>
        <w:tc>
          <w:tcPr>
            <w:tcW w:type="dxa" w:w="9866"/>
            <w:shd w:val="clear" w:color="auto" w:fill="1A2E4A"/>
          </w:tcPr>
          <w:p>
            <w:pPr>
              <w:jc w:val="left"/>
              <w:spacing w:before="40" w:after="40"/>
            </w:pPr>
            <w:r>
              <w:rPr>
                <w:b/>
                <w:color w:val="FFFFFF"/>
                <w:sz w:val="22"/>
              </w:rPr>
              <w:t>2 · Classify Concern Type  [tick all that apply]</w:t>
            </w:r>
          </w:p>
        </w:tc>
      </w:tr>
    </w:tbl>
    <w:p>
      <w:pPr>
        <w:spacing w:before="120" w:after="40"/>
      </w:pPr>
      <w:r>
        <w:rPr>
          <w:b/>
          <w:color w:val="1A2E4A"/>
          <w:sz w:val="17"/>
        </w:rPr>
        <w:t>Functional attributes — what the system must do</w:t>
      </w:r>
    </w:p>
    <w:p>
      <w:pPr>
        <w:spacing w:before="20" w:after="20"/>
      </w:pPr>
      <w:r>
        <w:rPr>
          <w:sz w:val="17"/>
        </w:rPr>
        <w:t>☐  Workflow / process step (create, approve, fulfil, reconcile)</w:t>
      </w:r>
    </w:p>
    <w:p>
      <w:pPr>
        <w:spacing w:before="20" w:after="20"/>
      </w:pPr>
      <w:r>
        <w:rPr>
          <w:sz w:val="17"/>
        </w:rPr>
        <w:t>☐  Data capture / validation / calculations</w:t>
      </w:r>
    </w:p>
    <w:p>
      <w:pPr>
        <w:spacing w:before="20" w:after="20"/>
      </w:pPr>
      <w:r>
        <w:rPr>
          <w:sz w:val="17"/>
        </w:rPr>
        <w:t>☐  Reporting / analytics output</w:t>
      </w:r>
    </w:p>
    <w:p>
      <w:pPr>
        <w:spacing w:before="20" w:after="20"/>
      </w:pPr>
      <w:r>
        <w:rPr>
          <w:sz w:val="17"/>
        </w:rPr>
        <w:t>☐  Integration / API / interface behaviour</w:t>
      </w:r>
    </w:p>
    <w:p>
      <w:pPr>
        <w:spacing w:before="20" w:after="20"/>
      </w:pPr>
      <w:r>
        <w:rPr>
          <w:sz w:val="17"/>
        </w:rPr>
        <w:t>☐  Roles / permissions / approvals (as a functional need)</w:t>
      </w:r>
    </w:p>
    <w:p>
      <w:pPr>
        <w:spacing w:before="20" w:after="20"/>
      </w:pPr>
      <w:r>
        <w:rPr>
          <w:sz w:val="17"/>
        </w:rPr>
        <w:t>☐  Notifications / messaging</w:t>
      </w:r>
    </w:p>
    <w:p>
      <w:pPr>
        <w:spacing w:before="20" w:after="20"/>
      </w:pPr>
      <w:r>
        <w:rPr>
          <w:sz w:val="17"/>
        </w:rPr>
        <w:t>☐  Search / retrieval</w:t>
      </w:r>
    </w:p>
    <w:p>
      <w:pPr>
        <w:spacing w:before="20" w:after="20"/>
      </w:pPr>
      <w:r>
        <w:rPr>
          <w:sz w:val="17"/>
        </w:rPr>
        <w:t>☐  Audit trail as a feature (who did what, when)</w:t>
      </w:r>
    </w:p>
    <w:p>
      <w:pPr>
        <w:spacing w:before="20" w:after="20"/>
      </w:pPr>
      <w:r>
        <w:rPr>
          <w:sz w:val="17"/>
        </w:rPr>
        <w:t>☐  Other: _______________________________</w:t>
      </w:r>
    </w:p>
    <w:p>
      <w:pPr>
        <w:spacing w:before="120" w:after="40"/>
      </w:pPr>
      <w:r>
        <w:rPr>
          <w:b/>
          <w:color w:val="1A2E4A"/>
          <w:sz w:val="17"/>
        </w:rPr>
        <w:t>Quality attributes / NFR types — how well it must do it  (ISO/IEC 25010 primary labels → BCS NFR terms)</w:t>
      </w:r>
    </w:p>
    <w:p>
      <w:pPr>
        <w:spacing w:before="20" w:after="20"/>
      </w:pPr>
      <w:r>
        <w:rPr>
          <w:sz w:val="17"/>
        </w:rPr>
        <w:t>☐  Performance efficiency (ISO 25010) → Performance (BCS: throughput / response time)</w:t>
      </w:r>
    </w:p>
    <w:p>
      <w:pPr>
        <w:spacing w:before="20" w:after="20"/>
      </w:pPr>
      <w:r>
        <w:rPr>
          <w:sz w:val="17"/>
        </w:rPr>
        <w:t>☐  Reliability (ISO 25010) → Availability / reliability / recoverability (BCS)</w:t>
      </w:r>
    </w:p>
    <w:p>
      <w:pPr>
        <w:spacing w:before="20" w:after="20"/>
      </w:pPr>
      <w:r>
        <w:rPr>
          <w:sz w:val="17"/>
        </w:rPr>
        <w:t>☐  Security (ISO 25010) → Security / privacy / information assurance (BCS)</w:t>
      </w:r>
    </w:p>
    <w:p>
      <w:pPr>
        <w:spacing w:before="20" w:after="20"/>
      </w:pPr>
      <w:r>
        <w:rPr>
          <w:sz w:val="17"/>
        </w:rPr>
        <w:t>☐  Usability (ISO 25010) → Usability / customer experience  (accessibility often sits here)</w:t>
      </w:r>
    </w:p>
    <w:p>
      <w:pPr>
        <w:spacing w:before="20" w:after="20"/>
      </w:pPr>
      <w:r>
        <w:rPr>
          <w:sz w:val="17"/>
        </w:rPr>
        <w:t>☐  Compatibility (ISO 25010) → Interoperability / integratability (BCS)</w:t>
      </w:r>
    </w:p>
    <w:p>
      <w:pPr>
        <w:spacing w:before="20" w:after="20"/>
      </w:pPr>
      <w:r>
        <w:rPr>
          <w:sz w:val="17"/>
        </w:rPr>
        <w:t>☐  Maintainability (ISO 25010) → Maintainability / modifiability / evolvability (BCS)</w:t>
      </w:r>
    </w:p>
    <w:p>
      <w:pPr>
        <w:spacing w:before="20" w:after="20"/>
      </w:pPr>
      <w:r>
        <w:rPr>
          <w:sz w:val="17"/>
        </w:rPr>
        <w:t>☐  Portability (ISO 25010) → Portability (BCS)</w:t>
      </w:r>
    </w:p>
    <w:p>
      <w:pPr>
        <w:spacing w:before="0" w:after="0"/>
      </w:pPr>
      <w:r>
        <w:rPr>
          <w:i/>
          <w:color w:val="555555"/>
          <w:sz w:val="15"/>
        </w:rPr>
        <w:t xml:space="preserve">      Tip: keep type vs instance clear — e.g. ‘throughput’ as type vs ‘100 tps’ as instance (Avancier).</w:t>
      </w:r>
    </w:p>
    <w:p>
      <w:pPr>
        <w:spacing w:before="120" w:after="40"/>
      </w:pPr>
      <w:r>
        <w:rPr>
          <w:b/>
          <w:color w:val="1A2E4A"/>
          <w:sz w:val="17"/>
        </w:rPr>
        <w:t>Planning &amp; governance attributes — constraints, risks, controls  (ISO 42010 §4.2)</w:t>
      </w:r>
    </w:p>
    <w:p>
      <w:pPr>
        <w:spacing w:before="20" w:after="20"/>
      </w:pPr>
      <w:r>
        <w:rPr>
          <w:sz w:val="17"/>
        </w:rPr>
        <w:t>☐  Cost / affordability</w:t>
      </w:r>
    </w:p>
    <w:p>
      <w:pPr>
        <w:spacing w:before="20" w:after="20"/>
      </w:pPr>
      <w:r>
        <w:rPr>
          <w:sz w:val="17"/>
        </w:rPr>
        <w:t>☐  Schedule / deadline / time-to-market</w:t>
      </w:r>
    </w:p>
    <w:p>
      <w:pPr>
        <w:spacing w:before="20" w:after="20"/>
      </w:pPr>
      <w:r>
        <w:rPr>
          <w:sz w:val="17"/>
        </w:rPr>
        <w:t>☐  Feasibility / known limitations</w:t>
      </w:r>
    </w:p>
    <w:p>
      <w:pPr>
        <w:spacing w:before="20" w:after="20"/>
      </w:pPr>
      <w:r>
        <w:rPr>
          <w:sz w:val="17"/>
        </w:rPr>
        <w:t>☐  Regulatory / compliance constraint</w:t>
      </w:r>
    </w:p>
    <w:p>
      <w:pPr>
        <w:spacing w:before="20" w:after="20"/>
      </w:pPr>
      <w:r>
        <w:rPr>
          <w:sz w:val="17"/>
        </w:rPr>
        <w:t>☐  Risk / assumptions / issues / dependencies  (RAID prompts)</w:t>
      </w:r>
    </w:p>
    <w:p>
      <w:pPr>
        <w:spacing w:before="20" w:after="20"/>
      </w:pPr>
      <w:r>
        <w:rPr>
          <w:sz w:val="17"/>
        </w:rPr>
        <w:t>☐  Standards / policy / principles constraint</w:t>
      </w:r>
    </w:p>
    <w:p>
      <w:pPr>
        <w:spacing w:before="20" w:after="20"/>
      </w:pPr>
      <w:r>
        <w:rPr>
          <w:sz w:val="17"/>
        </w:rPr>
        <w:t>☐  Decision authority required (who must approve / sign off)</w:t>
      </w:r>
    </w:p>
    <w:p>
      <w:pPr>
        <w:spacing w:before="20" w:after="20"/>
      </w:pPr>
      <w:r>
        <w:rPr>
          <w:sz w:val="17"/>
        </w:rPr>
        <w:t>☐  Supplier / contract / governance control requirement</w:t>
      </w:r>
    </w:p>
    <w:p>
      <w:pPr>
        <w:spacing w:before="20" w:after="20"/>
      </w:pPr>
      <w:r>
        <w:rPr>
          <w:sz w:val="17"/>
        </w:rPr>
        <w:t>☐  Other: _______________________________</w:t>
      </w:r>
    </w:p>
    <w:p>
      <w:pPr>
        <w:spacing w:before="20" w:after="20"/>
      </w:pPr>
      <w:r>
        <w:rPr>
          <w:sz w:val="17"/>
        </w:rPr>
        <w:t>☐  Possible conflict (forces)?   ☐ Yes   ☐ No</w:t>
      </w:r>
    </w:p>
    <w:p>
      <w:pPr>
        <w:spacing w:before="0" w:after="40"/>
      </w:pPr>
      <w:r>
        <w:rPr>
          <w:i/>
          <w:color w:val="555555"/>
          <w:sz w:val="15"/>
        </w:rPr>
        <w:t>If yes, name competing concerns and treat them as forces rather than personal disagreement.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866"/>
      </w:tblGrid>
      <w:tr>
        <w:tc>
          <w:tcPr>
            <w:tcW w:type="dxa" w:w="9866"/>
            <w:shd w:val="clear" w:color="auto" w:fill="1A2E4A"/>
          </w:tcPr>
          <w:p>
            <w:pPr>
              <w:jc w:val="left"/>
              <w:spacing w:before="40" w:after="40"/>
            </w:pPr>
            <w:r>
              <w:rPr>
                <w:b/>
                <w:color w:val="FFFFFF"/>
                <w:sz w:val="22"/>
              </w:rPr>
              <w:t>3 · Reframe as a Concern  [neutral, actionable]</w:t>
            </w:r>
          </w:p>
        </w:tc>
      </w:tr>
    </w:tbl>
    <w:p>
      <w:pPr>
        <w:spacing w:before="0" w:after="40"/>
      </w:pPr>
      <w:r>
        <w:rPr>
          <w:i/>
          <w:color w:val="555555"/>
          <w:sz w:val="15"/>
        </w:rPr>
        <w:t>Template: “Our concern is [topic] so that [stakeholder outcome], under [context].”  — ISO 42010 defines concern as a stakeholder interest; TOGAF emphasises concerns as roots of requirements decomposition.</w:t>
      </w:r>
    </w:p>
    <w:p>
      <w:pPr>
        <w:spacing w:before="120" w:after="0"/>
      </w:pPr>
      <w:r>
        <w:rPr>
          <w:b/>
          <w:color w:val="1A2E4A"/>
          <w:sz w:val="17"/>
        </w:rPr>
        <w:t>Reframed concern:</w:t>
      </w:r>
    </w:p>
    <w:p>
      <w:pPr>
        <w:spacing w:before="280" w:after="0"/>
        <w:pBdr>
          <w:bottom w:val="single" w:sz="4" w:space="1" w:color="A0B8D0"/>
        </w:pBdr>
      </w:pPr>
    </w:p>
    <w:p>
      <w:pPr>
        <w:spacing w:before="280" w:after="0"/>
        <w:pBdr>
          <w:bottom w:val="single" w:sz="4" w:space="1" w:color="A0B8D0"/>
        </w:pBdr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866"/>
      </w:tblGrid>
      <w:tr>
        <w:tc>
          <w:tcPr>
            <w:tcW w:type="dxa" w:w="9866"/>
            <w:shd w:val="clear" w:color="auto" w:fill="1A2E4A"/>
          </w:tcPr>
          <w:p>
            <w:pPr>
              <w:jc w:val="left"/>
              <w:spacing w:before="40" w:after="40"/>
            </w:pPr>
            <w:r>
              <w:rPr>
                <w:b/>
                <w:color w:val="FFFFFF"/>
                <w:sz w:val="22"/>
              </w:rPr>
              <w:t>4 · Scenario  [make it refutable — SEI QAW / ATAM structure]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33"/>
        <w:gridCol w:w="4933"/>
      </w:tblGrid>
      <w:tr>
        <w:tc>
          <w:tcPr>
            <w:tcW w:type="dxa" w:w="4933"/>
            <w:tcW w:w="5689" w:type="dxa"/>
          </w:tcPr>
          <w:p>
            <w:pPr>
              <w:spacing w:before="80" w:after="0"/>
            </w:pPr>
            <w:r>
              <w:rPr>
                <w:b/>
                <w:color w:val="1A2E4A"/>
                <w:sz w:val="17"/>
              </w:rPr>
              <w:t>Environment (assumptions):</w:t>
            </w:r>
          </w:p>
        </w:tc>
        <w:tc>
          <w:tcPr>
            <w:tcW w:type="dxa" w:w="4933"/>
            <w:tcW w:w="4119" w:type="dxa"/>
          </w:tcPr>
          <w:p>
            <w:pPr>
              <w:spacing w:before="80" w:after="0"/>
            </w:pPr>
            <w:r>
              <w:rPr>
                <w:i/>
                <w:color w:val="555555"/>
                <w:sz w:val="15"/>
              </w:rPr>
              <w:t>Load / degraded mode / location / user group</w:t>
            </w:r>
          </w:p>
        </w:tc>
      </w:tr>
      <w:tr>
        <w:tc>
          <w:tcPr>
            <w:tcW w:type="dxa" w:w="9866"/>
            <w:tcW w:w="5689" w:type="dxa"/>
            <w:gridSpan w:val="2"/>
          </w:tcPr>
          <w:p>
            <w:pPr>
              <w:spacing w:before="280" w:after="40"/>
              <w:pBdr>
                <w:bottom w:val="single" w:sz="4" w:space="1" w:color="A0B8D0"/>
              </w:pBdr>
            </w:pPr>
          </w:p>
        </w:tc>
      </w:tr>
      <w:tr>
        <w:tc>
          <w:tcPr>
            <w:tcW w:type="dxa" w:w="4933"/>
            <w:tcW w:w="5689" w:type="dxa"/>
          </w:tcPr>
          <w:p>
            <w:pPr>
              <w:spacing w:before="80" w:after="0"/>
            </w:pPr>
            <w:r>
              <w:rPr>
                <w:b/>
                <w:color w:val="1A2E4A"/>
                <w:sz w:val="17"/>
              </w:rPr>
              <w:t>Stimulus (event / load / failure / threat / change):</w:t>
            </w:r>
          </w:p>
        </w:tc>
        <w:tc>
          <w:tcPr>
            <w:tcW w:type="dxa" w:w="4933"/>
            <w:tcW w:w="4119" w:type="dxa"/>
          </w:tcPr>
          <w:p>
            <w:pPr>
              <w:spacing w:before="80" w:after="0"/>
            </w:pPr>
            <w:r>
              <w:rPr>
                <w:i/>
                <w:color w:val="555555"/>
                <w:sz w:val="15"/>
              </w:rPr>
              <w:t>What triggers the scenario?</w:t>
            </w:r>
          </w:p>
        </w:tc>
      </w:tr>
      <w:tr>
        <w:tc>
          <w:tcPr>
            <w:tcW w:type="dxa" w:w="9866"/>
            <w:tcW w:w="5689" w:type="dxa"/>
            <w:gridSpan w:val="2"/>
          </w:tcPr>
          <w:p>
            <w:pPr>
              <w:spacing w:before="280" w:after="40"/>
              <w:pBdr>
                <w:bottom w:val="single" w:sz="4" w:space="1" w:color="A0B8D0"/>
              </w:pBdr>
            </w:pPr>
          </w:p>
        </w:tc>
      </w:tr>
      <w:tr>
        <w:tc>
          <w:tcPr>
            <w:tcW w:type="dxa" w:w="4933"/>
            <w:tcW w:w="5689" w:type="dxa"/>
          </w:tcPr>
          <w:p>
            <w:pPr>
              <w:spacing w:before="80" w:after="0"/>
            </w:pPr>
            <w:r>
              <w:rPr>
                <w:b/>
                <w:color w:val="1A2E4A"/>
                <w:sz w:val="17"/>
              </w:rPr>
              <w:t>Scope (service / transaction / user group / component):</w:t>
            </w:r>
          </w:p>
        </w:tc>
        <w:tc>
          <w:tcPr>
            <w:tcW w:type="dxa" w:w="4933"/>
            <w:tcW w:w="4119" w:type="dxa"/>
          </w:tcPr>
          <w:p>
            <w:pPr>
              <w:spacing w:before="80" w:after="0"/>
            </w:pPr>
            <w:r>
              <w:rPr>
                <w:i/>
                <w:color w:val="555555"/>
                <w:sz w:val="15"/>
              </w:rPr>
              <w:t>Boundary of concern</w:t>
            </w:r>
          </w:p>
        </w:tc>
      </w:tr>
      <w:tr>
        <w:tc>
          <w:tcPr>
            <w:tcW w:type="dxa" w:w="9866"/>
            <w:tcW w:w="5689" w:type="dxa"/>
            <w:gridSpan w:val="2"/>
          </w:tcPr>
          <w:p>
            <w:pPr>
              <w:spacing w:before="280" w:after="40"/>
              <w:pBdr>
                <w:bottom w:val="single" w:sz="4" w:space="1" w:color="A0B8D0"/>
              </w:pBdr>
            </w:pPr>
          </w:p>
        </w:tc>
      </w:tr>
      <w:tr>
        <w:tc>
          <w:tcPr>
            <w:tcW w:type="dxa" w:w="4933"/>
            <w:tcW w:w="5689" w:type="dxa"/>
          </w:tcPr>
          <w:p>
            <w:pPr>
              <w:spacing w:before="80" w:after="0"/>
            </w:pPr>
            <w:r>
              <w:rPr>
                <w:b/>
                <w:color w:val="1A2E4A"/>
                <w:sz w:val="17"/>
              </w:rPr>
              <w:t>Response (observable behaviour):</w:t>
            </w:r>
          </w:p>
        </w:tc>
        <w:tc>
          <w:tcPr>
            <w:tcW w:type="dxa" w:w="4933"/>
            <w:tcW w:w="4119" w:type="dxa"/>
          </w:tcPr>
          <w:p>
            <w:pPr>
              <w:spacing w:before="80" w:after="0"/>
            </w:pPr>
            <w:r>
              <w:rPr>
                <w:i/>
                <w:color w:val="555555"/>
                <w:sz w:val="15"/>
              </w:rPr>
              <w:t>What the system does in response</w:t>
            </w:r>
          </w:p>
        </w:tc>
      </w:tr>
      <w:tr>
        <w:tc>
          <w:tcPr>
            <w:tcW w:type="dxa" w:w="9866"/>
            <w:tcW w:w="5689" w:type="dxa"/>
            <w:gridSpan w:val="2"/>
          </w:tcPr>
          <w:p>
            <w:pPr>
              <w:spacing w:before="280" w:after="40"/>
              <w:pBdr>
                <w:bottom w:val="single" w:sz="4" w:space="1" w:color="A0B8D0"/>
              </w:pBdr>
            </w:pPr>
          </w:p>
        </w:tc>
      </w:tr>
      <w:tr>
        <w:tc>
          <w:tcPr>
            <w:tcW w:type="dxa" w:w="4933"/>
            <w:tcW w:w="5689" w:type="dxa"/>
          </w:tcPr>
          <w:p>
            <w:pPr>
              <w:spacing w:before="80" w:after="0"/>
            </w:pPr>
            <w:r>
              <w:rPr>
                <w:b/>
                <w:color w:val="1A2E4A"/>
                <w:sz w:val="17"/>
              </w:rPr>
              <w:t>Response measure (how success is measured):</w:t>
            </w:r>
          </w:p>
        </w:tc>
        <w:tc>
          <w:tcPr>
            <w:tcW w:type="dxa" w:w="4933"/>
            <w:tcW w:w="4119" w:type="dxa"/>
          </w:tcPr>
          <w:p>
            <w:pPr>
              <w:spacing w:before="80" w:after="0"/>
            </w:pPr>
            <w:r>
              <w:rPr>
                <w:i/>
                <w:color w:val="555555"/>
                <w:sz w:val="15"/>
              </w:rPr>
              <w:t>Quantitative target — feeds directly into the Requirement instance</w:t>
            </w:r>
          </w:p>
        </w:tc>
      </w:tr>
      <w:tr>
        <w:tc>
          <w:tcPr>
            <w:tcW w:type="dxa" w:w="9866"/>
            <w:tcW w:w="5689" w:type="dxa"/>
            <w:gridSpan w:val="2"/>
          </w:tcPr>
          <w:p>
            <w:pPr>
              <w:spacing w:before="280" w:after="40"/>
              <w:pBdr>
                <w:bottom w:val="single" w:sz="4" w:space="1" w:color="A0B8D0"/>
              </w:pBdr>
            </w:pP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866"/>
      </w:tblGrid>
      <w:tr>
        <w:tc>
          <w:tcPr>
            <w:tcW w:type="dxa" w:w="9866"/>
            <w:shd w:val="clear" w:color="auto" w:fill="1A2E4A"/>
          </w:tcPr>
          <w:p>
            <w:pPr>
              <w:jc w:val="left"/>
              <w:spacing w:before="40" w:after="40"/>
            </w:pPr>
            <w:r>
              <w:rPr>
                <w:b/>
                <w:color w:val="FFFFFF"/>
                <w:sz w:val="22"/>
              </w:rPr>
              <w:t>5 · Measure  [requirement instance + evidence]</w:t>
            </w:r>
          </w:p>
        </w:tc>
      </w:tr>
    </w:tbl>
    <w:p>
      <w:pPr>
        <w:spacing w:before="0" w:after="40"/>
      </w:pPr>
      <w:r>
        <w:rPr>
          <w:i/>
          <w:color w:val="555555"/>
          <w:sz w:val="15"/>
        </w:rPr>
        <w:t>BCS: NFRs are usually quantitatively measurable; link each SMART “shall” statement to an acceptance test, monitoring threshold, or audit criterion.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33"/>
        <w:gridCol w:w="4933"/>
      </w:tblGrid>
      <w:tr>
        <w:tc>
          <w:tcPr>
            <w:tcW w:type="dxa" w:w="9866"/>
            <w:tcW w:w="5885" w:type="dxa"/>
            <w:gridSpan w:val="2"/>
          </w:tcPr>
          <w:p>
            <w:pPr>
              <w:spacing w:before="120" w:after="0"/>
            </w:pPr>
            <w:r>
              <w:rPr>
                <w:b/>
                <w:color w:val="1A2E4A"/>
                <w:sz w:val="17"/>
              </w:rPr>
              <w:t>Requirement instance (SMART “shall” statement):</w:t>
            </w:r>
          </w:p>
        </w:tc>
      </w:tr>
      <w:tr>
        <w:tc>
          <w:tcPr>
            <w:tcW w:type="dxa" w:w="9866"/>
            <w:tcW w:w="5885" w:type="dxa"/>
            <w:gridSpan w:val="2"/>
          </w:tcPr>
          <w:p>
            <w:pPr>
              <w:spacing w:before="280" w:after="40"/>
              <w:pBdr>
                <w:bottom w:val="single" w:sz="4" w:space="1" w:color="A0B8D0"/>
              </w:pBdr>
            </w:pPr>
          </w:p>
        </w:tc>
      </w:tr>
      <w:tr>
        <w:tc>
          <w:tcPr>
            <w:tcW w:type="dxa" w:w="9866"/>
            <w:tcW w:w="5885" w:type="dxa"/>
            <w:gridSpan w:val="2"/>
          </w:tcPr>
          <w:p>
            <w:pPr>
              <w:spacing w:before="280" w:after="40"/>
              <w:pBdr>
                <w:bottom w:val="single" w:sz="4" w:space="1" w:color="A0B8D0"/>
              </w:pBdr>
            </w:pPr>
          </w:p>
        </w:tc>
      </w:tr>
      <w:tr>
        <w:tc>
          <w:tcPr>
            <w:tcW w:type="dxa" w:w="4933"/>
            <w:tcW w:w="5885" w:type="dxa"/>
          </w:tcPr>
          <w:p>
            <w:pPr>
              <w:spacing w:before="120" w:after="0"/>
            </w:pPr>
            <w:r>
              <w:rPr>
                <w:b/>
                <w:color w:val="1A2E4A"/>
                <w:sz w:val="17"/>
              </w:rPr>
              <w:t>Metric(s) &amp; target(s):</w:t>
            </w:r>
          </w:p>
        </w:tc>
        <w:tc>
          <w:tcPr>
            <w:tcW w:type="dxa" w:w="4933"/>
            <w:tcW w:w="3923" w:type="dxa"/>
          </w:tcPr>
          <w:p>
            <w:pPr>
              <w:spacing w:before="120" w:after="0"/>
            </w:pPr>
            <w:r>
              <w:rPr>
                <w:b/>
                <w:color w:val="1A2E4A"/>
                <w:sz w:val="17"/>
              </w:rPr>
              <w:t>Measurement point (where measured):</w:t>
            </w:r>
          </w:p>
        </w:tc>
      </w:tr>
      <w:tr>
        <w:tc>
          <w:tcPr>
            <w:tcW w:type="dxa" w:w="4933"/>
            <w:tcW w:w="5885" w:type="dxa"/>
          </w:tcPr>
          <w:p>
            <w:pPr>
              <w:spacing w:before="280" w:after="40"/>
              <w:pBdr>
                <w:bottom w:val="single" w:sz="4" w:space="1" w:color="A0B8D0"/>
              </w:pBdr>
            </w:pPr>
          </w:p>
        </w:tc>
        <w:tc>
          <w:tcPr>
            <w:tcW w:type="dxa" w:w="4933"/>
            <w:tcW w:w="3923" w:type="dxa"/>
          </w:tcPr>
          <w:p>
            <w:pPr>
              <w:spacing w:before="280" w:after="40"/>
              <w:pBdr>
                <w:bottom w:val="single" w:sz="4" w:space="1" w:color="A0B8D0"/>
              </w:pBdr>
            </w:pPr>
          </w:p>
        </w:tc>
      </w:tr>
      <w:tr>
        <w:tc>
          <w:tcPr>
            <w:tcW w:type="dxa" w:w="4933"/>
            <w:tcW w:w="5885" w:type="dxa"/>
          </w:tcPr>
          <w:p>
            <w:pPr>
              <w:spacing w:before="120" w:after="0"/>
            </w:pPr>
            <w:r>
              <w:rPr>
                <w:b/>
                <w:color w:val="1A2E4A"/>
                <w:sz w:val="17"/>
              </w:rPr>
              <w:t>Time window / conditions:</w:t>
            </w:r>
          </w:p>
        </w:tc>
        <w:tc>
          <w:tcPr>
            <w:tcW w:type="dxa" w:w="4933"/>
            <w:tcW w:w="3923" w:type="dxa"/>
          </w:tcPr>
          <w:p>
            <w:pPr>
              <w:spacing w:before="120" w:after="0"/>
            </w:pPr>
            <w:r>
              <w:rPr>
                <w:b/>
                <w:color w:val="1A2E4A"/>
                <w:sz w:val="17"/>
              </w:rPr>
              <w:t>Owner: _________________  Due / gate: _____________</w:t>
            </w:r>
          </w:p>
        </w:tc>
      </w:tr>
      <w:tr>
        <w:tc>
          <w:tcPr>
            <w:tcW w:type="dxa" w:w="4933"/>
            <w:tcW w:w="5885" w:type="dxa"/>
          </w:tcPr>
          <w:p>
            <w:pPr>
              <w:spacing w:before="280" w:after="40"/>
              <w:pBdr>
                <w:bottom w:val="single" w:sz="4" w:space="1" w:color="A0B8D0"/>
              </w:pBdr>
            </w:pPr>
          </w:p>
        </w:tc>
        <w:tc>
          <w:tcPr>
            <w:tcW w:type="dxa" w:w="4933"/>
            <w:tcW w:w="3923" w:type="dxa"/>
          </w:tcPr>
          <w:p>
            <w:pPr>
              <w:spacing w:before="280" w:after="40"/>
              <w:pBdr>
                <w:bottom w:val="single" w:sz="4" w:space="1" w:color="A0B8D0"/>
              </w:pBdr>
            </w:pPr>
          </w:p>
        </w:tc>
      </w:tr>
      <w:tr>
        <w:tc>
          <w:tcPr>
            <w:tcW w:type="dxa" w:w="9866"/>
            <w:tcW w:w="5885" w:type="dxa"/>
            <w:gridSpan w:val="2"/>
            <w:shd w:val="clear" w:color="auto" w:fill="E8F0F7"/>
          </w:tcPr>
          <w:p>
            <w:pPr>
              <w:spacing w:before="100" w:after="100"/>
            </w:pPr>
            <w:r>
              <w:rPr>
                <w:b/>
                <w:sz w:val="17"/>
              </w:rPr>
              <w:t xml:space="preserve">Evidence method:  </w:t>
            </w:r>
            <w:r>
              <w:rPr>
                <w:sz w:val="17"/>
              </w:rPr>
              <w:t>☐ Test   ☐ Monitoring   ☐ Audit   ☐ Drill   ☐ Other: __________</w:t>
            </w:r>
          </w:p>
        </w:tc>
      </w:tr>
    </w:tbl>
    <w:p>
      <w:pPr>
        <w:spacing w:before="40" w:after="40"/>
        <w:pBdr>
          <w:bottom w:val="single" w:sz="6" w:space="1" w:color="A0B8D0"/>
        </w:pBdr>
      </w:pPr>
    </w:p>
    <w:p>
      <w:pPr>
        <w:spacing w:before="0" w:after="40"/>
      </w:pPr>
      <w:r>
        <w:rPr>
          <w:i/>
          <w:color w:val="555555"/>
          <w:sz w:val="15"/>
        </w:rPr>
        <w:t>References: ISO/IEC/IEEE 42010:2011 · ISO/IEC 25010:2011 · TOGAF® (The Open Group) · BCS Non-Functional Requirements guide · SEI Quality Attribute Workshop (QAW) / ATAM · Avancier Limited NFR guidance</w:t>
      </w:r>
    </w:p>
    <w:sectPr w:rsidR="00FC693F" w:rsidRPr="0006063C" w:rsidSect="00034616">
      <w:pgSz w:w="11906" w:h="16838"/>
      <w:pgMar w:top="1020" w:right="1020" w:bottom="79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