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Einführung in den Compilerbau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Gruppe : Leonard Bongard; Duy Quang Nguyen; Egemen Ulutürk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Aufgabe 1</w:t>
      </w:r>
    </w:p>
    <w:p w:rsidR="00000000" w:rsidDel="00000000" w:rsidP="00000000" w:rsidRDefault="00000000" w:rsidRPr="00000000" w14:paraId="0000000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a)      </w:t>
      </w:r>
    </w:p>
    <w:p w:rsidR="00000000" w:rsidDel="00000000" w:rsidP="00000000" w:rsidRDefault="00000000" w:rsidRPr="00000000" w14:paraId="00000005">
      <w:pPr>
        <w:tabs>
          <w:tab w:val="left" w:pos="42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starters[[A]] = {0;1}</w:t>
      </w:r>
    </w:p>
    <w:p w:rsidR="00000000" w:rsidDel="00000000" w:rsidP="00000000" w:rsidRDefault="00000000" w:rsidRPr="00000000" w14:paraId="00000006">
      <w:pPr>
        <w:tabs>
          <w:tab w:val="left" w:pos="42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starters[[X]] = {0,a,2}</w:t>
      </w:r>
    </w:p>
    <w:p w:rsidR="00000000" w:rsidDel="00000000" w:rsidP="00000000" w:rsidRDefault="00000000" w:rsidRPr="00000000" w14:paraId="00000007">
      <w:pPr>
        <w:tabs>
          <w:tab w:val="left" w:pos="425.1968503937007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starters[[Y]] = {a}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425.1968503937007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follow[[A]] = {a}</w:t>
      </w:r>
    </w:p>
    <w:p w:rsidR="00000000" w:rsidDel="00000000" w:rsidP="00000000" w:rsidRDefault="00000000" w:rsidRPr="00000000" w14:paraId="0000000A">
      <w:pPr>
        <w:tabs>
          <w:tab w:val="left" w:pos="425.1968503937007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follow[[X]] = {b, 0, a, 2}</w:t>
      </w:r>
    </w:p>
    <w:p w:rsidR="00000000" w:rsidDel="00000000" w:rsidP="00000000" w:rsidRDefault="00000000" w:rsidRPr="00000000" w14:paraId="0000000B">
      <w:pPr>
        <w:tabs>
          <w:tab w:val="left" w:pos="425.1968503937007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follow[[Y]] = {b}</w:t>
      </w:r>
    </w:p>
    <w:p w:rsidR="00000000" w:rsidDel="00000000" w:rsidP="00000000" w:rsidRDefault="00000000" w:rsidRPr="00000000" w14:paraId="0000000C">
      <w:pPr>
        <w:tabs>
          <w:tab w:val="left" w:pos="425.1968503937007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25.19685039370074"/>
        </w:tabs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b)</w:t>
        <w:tab/>
        <w:t xml:space="preserve">starters[[0]] ꓵ starters[[1]] = {0} ꓵ {1} =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∅ </w:t>
      </w:r>
    </w:p>
    <w:p w:rsidR="00000000" w:rsidDel="00000000" w:rsidP="00000000" w:rsidRDefault="00000000" w:rsidRPr="00000000" w14:paraId="0000000E">
      <w:pPr>
        <w:tabs>
          <w:tab w:val="left" w:pos="425.19685039370074"/>
        </w:tabs>
        <w:contextualSpacing w:val="0"/>
        <w:rPr/>
      </w:pPr>
      <w:r w:rsidDel="00000000" w:rsidR="00000000" w:rsidRPr="00000000">
        <w:rPr>
          <w:rtl w:val="0"/>
        </w:rPr>
        <w:t xml:space="preserve">c)</w:t>
        <w:tab/>
        <w:t xml:space="preserve">starters[[A]] ꓵ (starters[[ε]] U follow[[B]]) = {0,1} ꓵ ({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∅}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{a} =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d)    Es gibt 3 Fälle :</w:t>
      </w:r>
    </w:p>
    <w:p w:rsidR="00000000" w:rsidDel="00000000" w:rsidP="00000000" w:rsidRDefault="00000000" w:rsidRPr="00000000" w14:paraId="00000010">
      <w:pPr>
        <w:ind w:left="2140" w:hanging="360"/>
        <w:contextualSpacing w:val="0"/>
        <w:rPr/>
      </w:pPr>
      <w:r w:rsidDel="00000000" w:rsidR="00000000" w:rsidRPr="00000000">
        <w:rPr>
          <w:rtl w:val="0"/>
        </w:rPr>
        <w:t xml:space="preserve">1.  </w:t>
        <w:tab/>
        <w:t xml:space="preserve">0 | (a 1)  </w:t>
      </w:r>
    </w:p>
    <w:p w:rsidR="00000000" w:rsidDel="00000000" w:rsidP="00000000" w:rsidRDefault="00000000" w:rsidRPr="00000000" w14:paraId="00000011">
      <w:pPr>
        <w:ind w:left="1780" w:firstLine="0"/>
        <w:contextualSpacing w:val="0"/>
        <w:rPr/>
      </w:pPr>
      <w:r w:rsidDel="00000000" w:rsidR="00000000" w:rsidRPr="00000000">
        <w:rPr>
          <w:rtl w:val="0"/>
        </w:rPr>
        <w:t xml:space="preserve">starters[[0]] ꓵ starters[[a 1]] = {0} ꓵ {a} =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∅</w:t>
      </w:r>
    </w:p>
    <w:p w:rsidR="00000000" w:rsidDel="00000000" w:rsidP="00000000" w:rsidRDefault="00000000" w:rsidRPr="00000000" w14:paraId="00000012">
      <w:pPr>
        <w:ind w:left="178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2140" w:hanging="360"/>
        <w:contextualSpacing w:val="0"/>
        <w:rPr/>
      </w:pPr>
      <w:r w:rsidDel="00000000" w:rsidR="00000000" w:rsidRPr="00000000">
        <w:rPr>
          <w:rtl w:val="0"/>
        </w:rPr>
        <w:t xml:space="preserve">2.   </w:t>
        <w:tab/>
        <w:t xml:space="preserve">(a 1) | (2 2 b)</w:t>
      </w:r>
    </w:p>
    <w:p w:rsidR="00000000" w:rsidDel="00000000" w:rsidP="00000000" w:rsidRDefault="00000000" w:rsidRPr="00000000" w14:paraId="00000014">
      <w:pPr>
        <w:ind w:left="1780" w:firstLine="0"/>
        <w:contextualSpacing w:val="0"/>
        <w:rPr/>
      </w:pPr>
      <w:r w:rsidDel="00000000" w:rsidR="00000000" w:rsidRPr="00000000">
        <w:rPr>
          <w:rtl w:val="0"/>
        </w:rPr>
        <w:t xml:space="preserve">starters[[a 1]] </w:t>
      </w:r>
      <w:r w:rsidDel="00000000" w:rsidR="00000000" w:rsidRPr="00000000">
        <w:rPr>
          <w:rtl w:val="0"/>
        </w:rPr>
        <w:t xml:space="preserve">ꓵ starters[[2 2 b]] = {a} ꓵ {2} =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∅</w:t>
      </w:r>
    </w:p>
    <w:p w:rsidR="00000000" w:rsidDel="00000000" w:rsidP="00000000" w:rsidRDefault="00000000" w:rsidRPr="00000000" w14:paraId="00000015">
      <w:pPr>
        <w:ind w:left="178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2140" w:hanging="360"/>
        <w:contextualSpacing w:val="0"/>
        <w:rPr/>
      </w:pPr>
      <w:r w:rsidDel="00000000" w:rsidR="00000000" w:rsidRPr="00000000">
        <w:rPr>
          <w:rtl w:val="0"/>
        </w:rPr>
        <w:t xml:space="preserve">3.   </w:t>
        <w:tab/>
        <w:t xml:space="preserve">0 | (2 2 b)</w:t>
      </w:r>
    </w:p>
    <w:p w:rsidR="00000000" w:rsidDel="00000000" w:rsidP="00000000" w:rsidRDefault="00000000" w:rsidRPr="00000000" w14:paraId="00000017">
      <w:pPr>
        <w:ind w:left="17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starters[[0]] </w:t>
      </w:r>
      <w:r w:rsidDel="00000000" w:rsidR="00000000" w:rsidRPr="00000000">
        <w:rPr>
          <w:rtl w:val="0"/>
        </w:rPr>
        <w:t xml:space="preserve">ꓵ starters[[2 2 b] = {0} ꓵ {2} =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e)</w:t>
        <w:tab/>
        <w:t xml:space="preserve">starters[[X]] ꓵ follow[[X*]] = {0,a,2} ꓵ {b} =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Aufgabe 2</w:t>
      </w:r>
    </w:p>
    <w:p w:rsidR="00000000" w:rsidDel="00000000" w:rsidP="00000000" w:rsidRDefault="00000000" w:rsidRPr="00000000" w14:paraId="0000003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a)</w:t>
        <w:tab/>
        <w:t xml:space="preserve">Wenn man das Präfix “@” entfernt, kann es sein, dass der Ausdruck als Selektion von Strukturelementen geparst wird statt als Selektion von Record-Elementen.</w:t>
        <w:br w:type="textWrapping"/>
        <w:t xml:space="preserve">Deutlich wird es bei der Selektion von Record-Elementen mit einem Parameter:</w:t>
      </w:r>
    </w:p>
    <w:p w:rsidR="00000000" w:rsidDel="00000000" w:rsidP="00000000" w:rsidRDefault="00000000" w:rsidRPr="00000000" w14:paraId="00000031">
      <w:pPr>
        <w:ind w:left="360"/>
        <w:contextualSpacing w:val="0"/>
        <w:rPr/>
      </w:pPr>
      <w:r w:rsidDel="00000000" w:rsidR="00000000" w:rsidRPr="00000000">
        <w:rPr>
          <w:rtl w:val="0"/>
        </w:rPr>
        <w:tab/>
        <w:t xml:space="preserve">Bsp. val Point q = Point[3.0];</w:t>
      </w:r>
    </w:p>
    <w:p w:rsidR="00000000" w:rsidDel="00000000" w:rsidP="00000000" w:rsidRDefault="00000000" w:rsidRPr="00000000" w14:paraId="00000032">
      <w:pPr>
        <w:ind w:left="360"/>
        <w:contextualSpacing w:val="0"/>
        <w:rPr/>
      </w:pPr>
      <w:r w:rsidDel="00000000" w:rsidR="00000000" w:rsidRPr="00000000">
        <w:rPr>
          <w:rtl w:val="0"/>
        </w:rPr>
        <w:tab/>
        <w:t xml:space="preserve">Hier haben wir auf der rechten Seite des Gleichheitszeichens: ID “[“ expr “]”, die mit der Grammatik der Selektion von Strukturelementen übereinstimmt.</w:t>
      </w:r>
    </w:p>
    <w:p w:rsidR="00000000" w:rsidDel="00000000" w:rsidP="00000000" w:rsidRDefault="00000000" w:rsidRPr="00000000" w14:paraId="00000033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b)      parseExpr(){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switch(currentToken[0])</w:t>
      </w:r>
    </w:p>
    <w:p w:rsidR="00000000" w:rsidDel="00000000" w:rsidP="00000000" w:rsidRDefault="00000000" w:rsidRPr="00000000" w14:paraId="0000003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case INT :</w:t>
      </w:r>
    </w:p>
    <w:p w:rsidR="00000000" w:rsidDel="00000000" w:rsidP="00000000" w:rsidRDefault="00000000" w:rsidRPr="00000000" w14:paraId="0000003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acceptIt();</w:t>
      </w:r>
    </w:p>
    <w:p w:rsidR="00000000" w:rsidDel="00000000" w:rsidP="00000000" w:rsidRDefault="00000000" w:rsidRPr="00000000" w14:paraId="0000003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ind w:left="720" w:firstLine="70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ind w:left="720" w:firstLine="700"/>
        <w:contextualSpacing w:val="0"/>
        <w:rPr/>
      </w:pPr>
      <w:r w:rsidDel="00000000" w:rsidR="00000000" w:rsidRPr="00000000">
        <w:rPr>
          <w:rtl w:val="0"/>
        </w:rPr>
        <w:tab/>
        <w:t xml:space="preserve">case „-“ :</w:t>
      </w:r>
    </w:p>
    <w:p w:rsidR="00000000" w:rsidDel="00000000" w:rsidP="00000000" w:rsidRDefault="00000000" w:rsidRPr="00000000" w14:paraId="0000003D">
      <w:pPr>
        <w:ind w:left="1440" w:firstLine="700"/>
        <w:contextualSpacing w:val="0"/>
        <w:rPr/>
      </w:pPr>
      <w:r w:rsidDel="00000000" w:rsidR="00000000" w:rsidRPr="00000000">
        <w:rPr>
          <w:rtl w:val="0"/>
        </w:rPr>
        <w:t xml:space="preserve">parseNegation();</w:t>
      </w:r>
    </w:p>
    <w:p w:rsidR="00000000" w:rsidDel="00000000" w:rsidP="00000000" w:rsidRDefault="00000000" w:rsidRPr="00000000" w14:paraId="0000003E">
      <w:pPr>
        <w:ind w:left="1440" w:firstLine="70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F">
      <w:pPr>
        <w:ind w:left="720" w:firstLine="70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40">
      <w:pPr>
        <w:ind w:left="720" w:firstLine="700"/>
        <w:contextualSpacing w:val="0"/>
        <w:rPr/>
      </w:pPr>
      <w:r w:rsidDel="00000000" w:rsidR="00000000" w:rsidRPr="00000000">
        <w:rPr>
          <w:rtl w:val="0"/>
        </w:rPr>
        <w:t xml:space="preserve">case ID :</w:t>
      </w:r>
    </w:p>
    <w:p w:rsidR="00000000" w:rsidDel="00000000" w:rsidP="00000000" w:rsidRDefault="00000000" w:rsidRPr="00000000" w14:paraId="00000041">
      <w:pPr>
        <w:ind w:left="1440" w:firstLine="700"/>
        <w:contextualSpacing w:val="0"/>
        <w:rPr/>
      </w:pPr>
      <w:r w:rsidDel="00000000" w:rsidR="00000000" w:rsidRPr="00000000">
        <w:rPr>
          <w:rtl w:val="0"/>
        </w:rPr>
        <w:t xml:space="preserve">if(currentToken[1] == „[“ ) {</w:t>
      </w:r>
    </w:p>
    <w:p w:rsidR="00000000" w:rsidDel="00000000" w:rsidP="00000000" w:rsidRDefault="00000000" w:rsidRPr="00000000" w14:paraId="00000042">
      <w:pPr>
        <w:ind w:left="2160" w:firstLine="700"/>
        <w:contextualSpacing w:val="0"/>
        <w:rPr/>
      </w:pPr>
      <w:r w:rsidDel="00000000" w:rsidR="00000000" w:rsidRPr="00000000">
        <w:rPr>
          <w:rtl w:val="0"/>
        </w:rPr>
        <w:t xml:space="preserve">if(currentToken[2] == ID)</w:t>
      </w:r>
    </w:p>
    <w:p w:rsidR="00000000" w:rsidDel="00000000" w:rsidP="00000000" w:rsidRDefault="00000000" w:rsidRPr="00000000" w14:paraId="00000043">
      <w:pPr>
        <w:ind w:left="720" w:firstLine="700"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ab/>
        <w:t xml:space="preserve">parseRecordLiteral();</w:t>
      </w:r>
    </w:p>
    <w:p w:rsidR="00000000" w:rsidDel="00000000" w:rsidP="00000000" w:rsidRDefault="00000000" w:rsidRPr="00000000" w14:paraId="00000044">
      <w:pPr>
        <w:ind w:left="720" w:firstLine="700"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else parseElementSelect();</w:t>
      </w:r>
    </w:p>
    <w:p w:rsidR="00000000" w:rsidDel="00000000" w:rsidP="00000000" w:rsidRDefault="00000000" w:rsidRPr="00000000" w14:paraId="0000004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else accept(ID)</w:t>
      </w:r>
    </w:p>
    <w:p w:rsidR="00000000" w:rsidDel="00000000" w:rsidP="00000000" w:rsidRDefault="00000000" w:rsidRPr="00000000" w14:paraId="0000004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</w:t>
        <w:tab/>
      </w:r>
    </w:p>
    <w:p w:rsidR="00000000" w:rsidDel="00000000" w:rsidP="00000000" w:rsidRDefault="00000000" w:rsidRPr="00000000" w14:paraId="0000004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default: error();</w:t>
      </w:r>
    </w:p>
    <w:p w:rsidR="00000000" w:rsidDel="00000000" w:rsidP="00000000" w:rsidRDefault="00000000" w:rsidRPr="00000000" w14:paraId="0000004A">
      <w:pPr>
        <w:ind w:left="720" w:firstLine="70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192"/>
          <w:szCs w:val="19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Aufgabe 3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Idents: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alice -&gt; </w:t>
      </w:r>
    </w:p>
    <w:tbl>
      <w:tblPr>
        <w:tblStyle w:val="Table1"/>
        <w:tblW w:w="3285.0" w:type="dxa"/>
        <w:jc w:val="left"/>
        <w:tblInd w:w="2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185"/>
        <w:gridCol w:w="855"/>
        <w:tblGridChange w:id="0">
          <w:tblGrid>
            <w:gridCol w:w="1245"/>
            <w:gridCol w:w="1185"/>
            <w:gridCol w:w="855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15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claire -&gt;</w:t>
        <w:tab/>
      </w:r>
    </w:p>
    <w:tbl>
      <w:tblPr>
        <w:tblStyle w:val="Table2"/>
        <w:tblW w:w="3285.0" w:type="dxa"/>
        <w:jc w:val="left"/>
        <w:tblInd w:w="2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230"/>
        <w:gridCol w:w="795"/>
        <w:tblGridChange w:id="0">
          <w:tblGrid>
            <w:gridCol w:w="1260"/>
            <w:gridCol w:w="1230"/>
            <w:gridCol w:w="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bob -&gt;</w:t>
      </w:r>
    </w:p>
    <w:tbl>
      <w:tblPr>
        <w:tblStyle w:val="Table3"/>
        <w:tblW w:w="3270.0" w:type="dxa"/>
        <w:jc w:val="left"/>
        <w:tblInd w:w="2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275"/>
        <w:gridCol w:w="765"/>
        <w:tblGridChange w:id="0">
          <w:tblGrid>
            <w:gridCol w:w="1230"/>
            <w:gridCol w:w="1275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6B">
      <w:pPr>
        <w:ind w:left="22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Die grau markierten Zellen beinhalten die oberste Elemente des Stacks. 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scopes: 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3375.0" w:type="dxa"/>
        <w:jc w:val="left"/>
        <w:tblInd w:w="2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tblGridChange w:id="0">
          <w:tblGrid>
            <w:gridCol w:w="3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{alice, claire}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{claire, bob}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{alice, claire}</w:t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Die grau markierte Zelle ist das oberste Element des Stacks.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Aufgabe 4</w:t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Kopf der for-Schleife: ‘“for” “(“ InitVarName “=” InitValue “;” Schleifenbedingung “;” IncrVarName “=” IncrExpr “)”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Für die For Schleife müssen nun folgende Regeln gelten.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 InitVarName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 String;  ID des Index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 Name der zu Initialisierenden Variable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 Muss den Typ INT oder FLOAT haben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InitValue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 oder FLOAT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Muss der gleiche Typ wie der Typ des Feldes InitVarName sein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vor der ersten Iteration wird ihm der Wert des Ausdrucks zugewiesen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Schleifenbedingung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Wird vor jeder Iteration geprüft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Falls der Wert TRUE ist, dann wird der Body-Codeblock ausgeführt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Falls der Wert FALSE ist, dann wird die Schleife abgebrochen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IncrVarName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STRING; ID des Index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Muss den gleichen Typ und Wert wie InitVarName haben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IncrExpr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oder FLOAT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muss den selben Typen wie IncrVarName haben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wenn der Wert der Schleifenbedingung TRUE ist, dann wird dem Feld InitValue der Wert des Ausdrucks zugewiesen</w:t>
      </w:r>
    </w:p>
    <w:p w:rsidR="00000000" w:rsidDel="00000000" w:rsidP="00000000" w:rsidRDefault="00000000" w:rsidRPr="00000000" w14:paraId="000000A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