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Analytics Code of Conduct</w:t>
      </w:r>
    </w:p>
    <w:p>
      <w:pPr>
        <w:pStyle w:val="Heading1"/>
      </w:pPr>
      <w:r>
        <w:t>Our Standards</w:t>
      </w:r>
    </w:p>
    <w:p>
      <w:r>
        <w:t>Northwind Analytics expects every employee, contractor and board member to act with honesty, respect and professional integrity. This code is reference GOV-COC-3 and is acknowledged by every employee on joining and annually thereafter.</w:t>
      </w:r>
    </w:p>
    <w:p>
      <w:r>
        <w:t>Breaching this code may result in disciplinary action up to and including summary dismissal, and may be reported to regulators or law enforcement where required.</w:t>
      </w:r>
    </w:p>
    <w:p>
      <w:pPr>
        <w:pStyle w:val="Heading1"/>
      </w:pPr>
      <w:r>
        <w:t>Conflicts of Interest</w:t>
      </w:r>
    </w:p>
    <w:p>
      <w:r>
        <w:t>Employees must declare any outside employment, directorship, or financial interest in a competitor, customer or supplier of the company.</w:t>
      </w:r>
    </w:p>
    <w:p>
      <w:r>
        <w:t>A declaration must be filed within 14 days of the interest arising. Declarations are reviewed by the Legal team and recorded in the conflicts register.</w:t>
      </w:r>
    </w:p>
    <w:p>
      <w:r>
        <w:t>An employee must not participate in a procurement decision involving a supplier in which they or a close family member hold an interest.</w:t>
      </w:r>
    </w:p>
    <w:p>
      <w:pPr>
        <w:pStyle w:val="Heading1"/>
      </w:pPr>
      <w:r>
        <w:t>Gifts and Hospitality</w:t>
      </w:r>
    </w:p>
    <w:p>
      <w:r>
        <w:t>Gifts with a value below 50 euro may be accepted without prior approval but must still be recorded in the gifts register.</w:t>
      </w:r>
    </w:p>
    <w:p>
      <w:r>
        <w:t>Gifts valued between 50 and 250 euro require written approval from a director. Gifts above 250 euro must be declined or donated to charity.</w:t>
      </w:r>
    </w:p>
    <w:p>
      <w:r>
        <w:t>Cash, cash equivalents and gift cards must never be accepted, regardless of value.</w:t>
      </w:r>
    </w:p>
    <w:p>
      <w:pPr>
        <w:pStyle w:val="Heading1"/>
      </w:pPr>
      <w:r>
        <w:t>Anti-Bribery and Corruption</w:t>
      </w:r>
    </w:p>
    <w:p>
      <w:r>
        <w:t>The company prohibits bribery in any form, including facilitation payments, in every jurisdiction in which it operates.</w:t>
      </w:r>
    </w:p>
    <w:p>
      <w:r>
        <w:t>Any payment to a government official, including expedited processing fees, requires prior written approval from the General Counsel.</w:t>
      </w:r>
    </w:p>
    <w:p>
      <w:pPr>
        <w:pStyle w:val="Heading1"/>
      </w:pPr>
      <w:r>
        <w:t>Confidential Information</w:t>
      </w:r>
    </w:p>
    <w:p>
      <w:r>
        <w:t>Confidential information includes customer data, unpublished financial results, product plans, security findings and personnel information.</w:t>
      </w:r>
    </w:p>
    <w:p>
      <w:r>
        <w:t>Confidentiality obligations continue for three years after employment ends. Trade secrets remain protected indefinitely.</w:t>
      </w:r>
    </w:p>
    <w:p>
      <w:pPr>
        <w:pStyle w:val="Heading1"/>
      </w:pPr>
      <w:r>
        <w:t>Raising Concerns</w:t>
      </w:r>
    </w:p>
    <w:p>
      <w:r>
        <w:t>Concerns may be raised with a line manager, with the People Operations team, or anonymously through the independent whistleblowing line operated by a third party.</w:t>
      </w:r>
    </w:p>
    <w:p>
      <w:r>
        <w:t>Reports made through the whistleblowing line are acknowledged within 3 working days and an initial assessment is completed within 10 working days.</w:t>
      </w:r>
    </w:p>
    <w:p>
      <w:r>
        <w:t>The company prohibits retaliation against anyone who raises a concern in good faith. Retaliation is itself a disciplinary offence.</w:t>
      </w:r>
    </w:p>
    <w:p>
      <w:pPr>
        <w:pStyle w:val="Heading1"/>
      </w:pPr>
      <w:r>
        <w:t>Investigations</w:t>
      </w:r>
    </w:p>
    <w:p>
      <w:r>
        <w:t>Investigations are conducted by a person independent of the matter. The subject of an investigation is informed unless doing so would prejudice the investigation.</w:t>
      </w:r>
    </w:p>
    <w:p>
      <w:r>
        <w:t>Investigation outcomes are recorded in writing. Summary statistics, with no identifying detail, are reported to the Audit Committee each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Analytics Code of Conduct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