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Northwind Analytics Information Security Policy</w:t>
      </w:r>
    </w:p>
    <w:p>
      <w:pPr>
        <w:pStyle w:val="Heading1"/>
      </w:pPr>
      <w:r>
        <w:t>Scope and Ownership</w:t>
      </w:r>
    </w:p>
    <w:p>
      <w:r>
        <w:t>This Information Security Policy, reference ISP-2024-03, applies to all employees, contractors and third parties who access Northwind Analytics systems or data.</w:t>
      </w:r>
    </w:p>
    <w:p>
      <w:r>
        <w:t>The policy is owned by the Chief Information Security Officer and is formally reviewed annually. Exceptions require a documented risk acceptance signed by the CISO and are valid for a maximum of 90 days.</w:t>
      </w:r>
    </w:p>
    <w:p>
      <w:pPr>
        <w:pStyle w:val="Heading1"/>
      </w:pPr>
      <w:r>
        <w:t>Access Control</w:t>
      </w:r>
    </w:p>
    <w:p>
      <w:r>
        <w:t>Access is granted on the principle of least privilege. Standard access requests are approved by the system owner and fulfilled within 2 business days.</w:t>
      </w:r>
    </w:p>
    <w:p>
      <w:r>
        <w:t>User access reviews are performed quarterly. Privileged and administrator access is reviewed monthly.</w:t>
      </w:r>
    </w:p>
    <w:p>
      <w:r>
        <w:t>Just-in-time elevation to production is limited to a maximum of 8 hours per session and requires a linked incident or change ticket.</w:t>
      </w:r>
    </w:p>
    <w:p>
      <w:r>
        <w:t>Accounts of departing employees are disabled within 4 hours of their final working hour and deleted after 30 days.</w:t>
      </w:r>
    </w:p>
    <w:p>
      <w:pPr>
        <w:pStyle w:val="Heading1"/>
      </w:pPr>
      <w:r>
        <w:t>Passwords and Multi-Factor Authentication</w:t>
      </w:r>
    </w:p>
    <w:p>
      <w:r>
        <w:t>Passwords must be at least 14 characters long. Scheduled password rotation is not required; passwords are rotated only on suspected compromise, in line with current NIST guidance.</w:t>
      </w:r>
    </w:p>
    <w:p>
      <w:r>
        <w:t>Multi-factor authentication is mandatory for all production systems, for the VPN, and for the single sign-on provider. Hardware security keys are required for administrators.</w:t>
      </w:r>
    </w:p>
    <w:p>
      <w:r>
        <w:t>Shared accounts are prohibited. Where a shared service account is unavoidable, credentials must be stored in the approved secrets manager and rotated every 90 days.</w:t>
      </w:r>
    </w:p>
    <w:p>
      <w:pPr>
        <w:pStyle w:val="Heading1"/>
      </w:pPr>
      <w:r>
        <w:t>Data Classification</w:t>
      </w:r>
    </w:p>
    <w:p>
      <w:r>
        <w:t>Data is classified into four levels: Public, Internal, Confidential and Restricted.</w:t>
      </w:r>
    </w:p>
    <w:p>
      <w:r>
        <w:t>Restricted data includes customer personal data, payment data and authentication secrets. Restricted data must be encrypted at rest using AES-256 and in transit using TLS 1.3.</w:t>
      </w:r>
    </w:p>
    <w:p>
      <w:r>
        <w:t>Confidential data may not be copied to personal devices or personal cloud storage accounts under any circumstances.</w:t>
      </w:r>
    </w:p>
    <w:p>
      <w:r>
        <w:t>All company laptops must use full disk encryption and an automatic screen lock after 10 minutes of inactivity.</w:t>
      </w:r>
    </w:p>
    <w:p>
      <w:pPr>
        <w:pStyle w:val="Heading1"/>
      </w:pPr>
      <w:r>
        <w:t>Incident Response</w:t>
      </w:r>
    </w:p>
    <w:p>
      <w:r>
        <w:t>Security incidents are classified from SEV-1, the most severe, to SEV-4. A SEV-1 incident must be acknowledged by the on-call security engineer within 15 minutes.</w:t>
      </w:r>
    </w:p>
    <w:p>
      <w:r>
        <w:t>Suspected security incidents must be reported to the security team within 1 hour of discovery using the security incident channel.</w:t>
      </w:r>
    </w:p>
    <w:p>
      <w:r>
        <w:t>Where an incident involves personal data, affected customers and the relevant supervisory authority are notified within 72 hours of confirmation.</w:t>
      </w:r>
    </w:p>
    <w:p>
      <w:r>
        <w:t>A written post-incident review is completed within 10 business days for every SEV-1 and SEV-2 incident.</w:t>
      </w:r>
    </w:p>
    <w:p>
      <w:pPr>
        <w:pStyle w:val="Heading1"/>
      </w:pPr>
      <w:r>
        <w:t>Security Training</w:t>
      </w:r>
    </w:p>
    <w:p>
      <w:r>
        <w:t>All employees complete mandatory security awareness training annually. The training takes approximately 45 minutes.</w:t>
      </w:r>
    </w:p>
    <w:p>
      <w:r>
        <w:t>Phishing simulations are run quarterly. Employees who fail two consecutive simulations are enrolled in additional targeted training.</w:t>
      </w:r>
    </w:p>
    <w:p>
      <w:pPr>
        <w:pStyle w:val="Heading1"/>
      </w:pPr>
      <w:r>
        <w:t>Vendor and Third-Party Risk</w:t>
      </w:r>
    </w:p>
    <w:p>
      <w:r>
        <w:t>Vendors that process Restricted data must provide a current SOC 2 Type II report or an equivalent ISO 27001 certification before contract signature.</w:t>
      </w:r>
    </w:p>
    <w:p>
      <w:r>
        <w:t>Vendor security assessments are repeated every 12 months, or immediately following a publicly disclosed breach affecting that vendor.</w:t>
      </w:r>
    </w:p>
    <w:p>
      <w:pPr>
        <w:pStyle w:val="Heading1"/>
      </w:pPr>
      <w:r>
        <w:t>Logging and Audit</w:t>
      </w:r>
    </w:p>
    <w:p>
      <w:r>
        <w:t>Security relevant logs are retained for 400 days. Audit logs are written to append-only storage and cannot be modified by application teams.</w:t>
      </w:r>
    </w:p>
    <w:p>
      <w:r>
        <w:t>Production access is logged and reviewed weekly by the security operations team.</w:t>
      </w:r>
    </w:p>
    <w:p>
      <w:pPr>
        <w:pStyle w:val="Heading1"/>
      </w:pPr>
      <w:r>
        <w:t>Network Security</w:t>
      </w:r>
    </w:p>
    <w:p>
      <w:r>
        <w:t>Remote access to internal systems requires the corporate VPN and multi-factor authentication. Split tunnelling is disabled on all managed devices.</w:t>
      </w:r>
    </w:p>
    <w:p>
      <w:r>
        <w:t>Production networks are segmented from corporate networks. Firewall change requests are reviewed weekly by the network security team and require a documented business justification.</w:t>
      </w:r>
    </w:p>
    <w:p>
      <w:r>
        <w:t>Inbound access to production databases from the internet is prohibited without exception.</w:t>
      </w:r>
    </w:p>
    <w:p>
      <w:pPr>
        <w:pStyle w:val="Heading1"/>
      </w:pPr>
      <w:r>
        <w:t>Endpoint Management</w:t>
      </w:r>
    </w:p>
    <w:p>
      <w:r>
        <w:t>All company devices must be enrolled in mobile device management before first use and must run the approved endpoint detection and response agent.</w:t>
      </w:r>
    </w:p>
    <w:p>
      <w:r>
        <w:t>Operating system and application patches are applied within 7 days for critical vulnerabilities, 14 days for high severity and 30 days for medium severity.</w:t>
      </w:r>
    </w:p>
    <w:p>
      <w:r>
        <w:t>Devices that have not checked in for 30 days are automatically blocked from accessing corporate resources.</w:t>
      </w:r>
    </w:p>
    <w:p>
      <w:pPr>
        <w:pStyle w:val="Heading1"/>
      </w:pPr>
      <w:r>
        <w:t>Secure Development</w:t>
      </w:r>
    </w:p>
    <w:p>
      <w:r>
        <w:t>Static application security testing runs on every pull request. A high or critical finding blocks the merge until it is resolved or formally risk accepted.</w:t>
      </w:r>
    </w:p>
    <w:p>
      <w:r>
        <w:t>Dependency vulnerability scanning runs daily against all repositories. Critical dependency findings must be remediated within 7 days.</w:t>
      </w:r>
    </w:p>
    <w:p>
      <w:r>
        <w:t>An external penetration test is commissioned annually and after any significant change to the authentication architecture.</w:t>
      </w:r>
    </w:p>
    <w:p>
      <w:r>
        <w:t>A threat model is required before the first production deployment of any new service that processes Confidential or Restricted data.</w:t>
      </w:r>
    </w:p>
    <w:p>
      <w:pPr>
        <w:pStyle w:val="Heading1"/>
      </w:pPr>
      <w:r>
        <w:t>Business Continuity and Backup</w:t>
      </w:r>
    </w:p>
    <w:p>
      <w:r>
        <w:t>The recovery point objective for production data is 1 hour. The recovery time objective is 4 hours.</w:t>
      </w:r>
    </w:p>
    <w:p>
      <w:r>
        <w:t>Database backups run daily and are retained for 35 days. Backup restoration is tested quarterly and the result is recorded in the risk register.</w:t>
      </w:r>
    </w:p>
    <w:p>
      <w:r>
        <w:t>A full disaster recovery exercise is performed annually with participation from engineering, security and customer support.</w:t>
      </w:r>
    </w:p>
    <w:p>
      <w:pPr>
        <w:pStyle w:val="Heading1"/>
      </w:pPr>
      <w:r>
        <w:t>Physical Security</w:t>
      </w:r>
    </w:p>
    <w:p>
      <w:r>
        <w:t>Office access requires an individually issued badge. Badges must not be shared and tailgating through controlled doors is prohibited.</w:t>
      </w:r>
    </w:p>
    <w:p>
      <w:r>
        <w:t>Visitors must be registered in advance, sign in at reception and be escorted at all times while inside secure areas.</w:t>
      </w:r>
    </w:p>
    <w:p>
      <w:r>
        <w:t>A clean desk is required: documents classified Confidential or Restricted must be locked away when the desk is unattended.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Northwind Analytics Information Security Policy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