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Лаб. Упражнение No: 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=============================================</w:t>
      </w:r>
      <w:r>
        <w:rPr>
          <w:highlight w:val="none"/>
        </w:rPr>
        <w:t xml:space="preserve">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2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Теория: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Control Unit </w:t>
      </w:r>
      <w:r>
        <w:rPr>
          <w:b w:val="0"/>
          <w:bCs w:val="0"/>
          <w:highlight w:val="none"/>
        </w:rPr>
        <w:t xml:space="preserve">(Управляващо устройство) –  декодиращ елемент задаващ контролните управляващи сигнали за инструкциите спрямо подаденият му вход(OPcode).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723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827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17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407.2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Фиг 1.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b/>
          <w:bCs/>
          <w:highlight w:val="none"/>
        </w:rPr>
        <w:t xml:space="preserve">ALU control</w:t>
      </w:r>
      <w:r>
        <w:rPr>
          <w:highlight w:val="none"/>
        </w:rPr>
        <w:t xml:space="preserve"> – четирибитова управляваща шина, подаваща операция на ALU-то. За текущото упражнение ще се използва </w:t>
      </w:r>
      <w:r>
        <w:rPr>
          <w:b/>
          <w:bCs/>
          <w:highlight w:val="none"/>
        </w:rPr>
        <w:t xml:space="preserve">подмножество на валидните операции</w:t>
      </w:r>
      <w:r>
        <w:rPr>
          <w:highlight w:val="none"/>
        </w:rPr>
        <w:t xml:space="preserve">. На таблицата долу са показани операциите и техните кодове.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2325" cy="148410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312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452324" cy="1484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0.58pt;height:116.8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Фиг 2.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b/>
          <w:bCs/>
          <w:highlight w:val="none"/>
        </w:rPr>
        <w:t xml:space="preserve">Видове управляващи сигнали:</w:t>
      </w:r>
      <w:r/>
    </w:p>
    <w:p>
      <w:pPr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Branch – Контролен сигнал указващ дали изпълняваната инструкция е инструкция за преход. Този сигнал е подаван с флаговете, генерирани от ALU-то, към логически елемент (на фиг 4.21 - лог. “И”) за правилна обработка на инструкциите за преход.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MemRead – Сигнал указващ на данновата памет, че ще се извърши операция за четене.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MemtoReg – Управляващ сигнал за мултиплексора, указващ дали данните за записване в регистрите ще се вземат от данновата памет, или от ALU-то.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ALUOp – Управляващ сингал за ALU-то, </w:t>
      </w:r>
      <w:r>
        <w:rPr>
          <w:b/>
          <w:bCs/>
          <w:highlight w:val="none"/>
        </w:rPr>
        <w:t xml:space="preserve">00 означава събиране, 01 означава изваждане, при 10 командата се взима от funct3 полето. Ако funct3 полето е с код 000, инструкцията се взима от funct7. funct7 полето е налично само при R-формат инструкции. funct3 не е налично при U и J формати. </w:t>
      </w:r>
      <w:r>
        <w:rPr>
          <w:b w:val="0"/>
          <w:bCs w:val="0"/>
          <w:highlight w:val="none"/>
        </w:rPr>
        <w:t xml:space="preserve">Този тип декодиране се нарича многослойно декодиране и е популярна практика при дизай</w:t>
      </w:r>
      <w:r>
        <w:rPr>
          <w:b w:val="0"/>
          <w:bCs w:val="0"/>
          <w:highlight w:val="none"/>
        </w:rPr>
        <w:t xml:space="preserve">на на компютърни архитектури. С него може да се намали латенцията на управляващото устройство. (фиг 3 показва кодовете на инструкциите, разгледани до сега. “X” означава “don’t care”, X битовете не се използват и следователно тяхната стойност няма значение)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MemWrite - </w:t>
      </w:r>
      <w:r>
        <w:rPr>
          <w:b w:val="0"/>
          <w:bCs w:val="0"/>
          <w:highlight w:val="none"/>
        </w:rPr>
        <w:t xml:space="preserve">Сигнал разрешаващ писането в данновата памет.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ALUSrc – Управляващ сигнал за мултиплексора, указващ дали вторият операнд на ALU-то да се вземе от immediate полето, или от регистрите.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RegWrite - </w:t>
      </w:r>
      <w:r>
        <w:rPr>
          <w:b w:val="0"/>
          <w:bCs w:val="0"/>
          <w:highlight w:val="none"/>
        </w:rPr>
        <w:t xml:space="preserve">Сигнал разрешаващ записване в регистровия файл.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708" w:left="0"/>
        <w:jc w:val="left"/>
        <w:rPr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5885" cy="25770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9281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95884" cy="2577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3.38pt;height:202.9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Bdr/>
        <w:spacing/>
        <w:ind w:firstLine="708" w:left="0"/>
        <w:jc w:val="left"/>
        <w:rPr>
          <w:highlight w:val="none"/>
        </w:rPr>
      </w:pPr>
      <w:r>
        <w:rPr>
          <w:highlight w:val="none"/>
        </w:rPr>
        <w:t xml:space="preserve">Фиг 3.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U и UJ формат инструкции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UJ(jump) -  използва се за безусловни преходи. Пример: извикване на функция.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U(upper) – използва се за зареждане на горните 20 бита от регистър.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1483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3508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314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03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Фиг 4.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Защо съществуват почти идентични формати -&gt; S и SB, J и UJ?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0690" cy="267034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812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340690" cy="267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0.53pt;height:210.2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highlight w:val="none"/>
        </w:rPr>
        <w:t xml:space="preserve">Фиг 5.</w:t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t xml:space="preserve">Нека разгледаме таблици 4.17 и 4.18. </w:t>
      </w:r>
      <w:r>
        <w:rPr>
          <w:b/>
          <w:bCs/>
        </w:rPr>
        <w:t xml:space="preserve">4.17 </w:t>
      </w:r>
      <w:r>
        <w:rPr>
          <w:b w:val="0"/>
          <w:bCs w:val="0"/>
        </w:rPr>
        <w:t xml:space="preserve">показва колко различни входа ще получава immediate генератора(imm gen), за всеки от 32-та бита. тези битове трябва да бъдат подадени на съответен мултиплексор за да се избере един</w:t>
      </w:r>
      <w:r>
        <w:rPr>
          <w:b w:val="0"/>
          <w:bCs w:val="0"/>
        </w:rPr>
        <w:t xml:space="preserve">, ако SB беше B и UJ беше U. </w:t>
      </w:r>
      <w:r>
        <w:rPr>
          <w:b/>
          <w:bCs/>
        </w:rPr>
        <w:t xml:space="preserve">4.18 </w:t>
      </w:r>
      <w:r>
        <w:rPr>
          <w:b w:val="0"/>
          <w:bCs w:val="0"/>
          <w:highlight w:val="none"/>
        </w:rPr>
        <w:t xml:space="preserve">показва същото, но при стандартната реализация. “</w:t>
      </w:r>
      <w:r>
        <w:rPr>
          <w:b/>
          <w:bCs/>
          <w:highlight w:val="none"/>
        </w:rPr>
        <w:t xml:space="preserve">”</w:t>
      </w:r>
      <w:r>
        <w:rPr>
          <w:b w:val="0"/>
          <w:bCs w:val="0"/>
          <w:highlight w:val="none"/>
        </w:rPr>
        <w:t xml:space="preserve">” означава повтаряемост. Нека първата инструкция от таблицата (Load. Arith. Imm) бъде отбелязана с “</w:t>
      </w:r>
      <w:r>
        <w:rPr>
          <w:b/>
          <w:bCs/>
          <w:highlight w:val="none"/>
        </w:rPr>
        <w:t xml:space="preserve">1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  <w:t xml:space="preserve">, докато последната (Load Upper Imm.) с “</w:t>
      </w:r>
      <w:r>
        <w:rPr>
          <w:b/>
          <w:bCs/>
          <w:highlight w:val="none"/>
        </w:rPr>
        <w:t xml:space="preserve">5</w:t>
      </w:r>
      <w:r>
        <w:rPr>
          <w:b w:val="0"/>
          <w:bCs w:val="0"/>
          <w:highlight w:val="none"/>
        </w:rPr>
        <w:t xml:space="preserve">”, инструкциите между тях със съответния номер следващ поредността.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Тогава при инструкция </w:t>
      </w:r>
      <w:r>
        <w:rPr>
          <w:b/>
          <w:bCs/>
          <w:highlight w:val="none"/>
        </w:rPr>
        <w:t xml:space="preserve">1</w:t>
      </w:r>
      <w:r>
        <w:rPr>
          <w:b w:val="0"/>
          <w:bCs w:val="0"/>
          <w:highlight w:val="none"/>
        </w:rPr>
        <w:t xml:space="preserve">(I формат) битове 31-20 са immediate и се копират като най-младшите (11-0) бита в imm gen-а. 11-тия бит се копира в останалите най-старши 20 бита, за да се получи sign extend-а.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 инструкция </w:t>
      </w:r>
      <w:r>
        <w:rPr>
          <w:b/>
          <w:bCs/>
          <w:highlight w:val="none"/>
        </w:rPr>
        <w:t xml:space="preserve">2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(S формат) принципът е същият, но последните 5 бита се взимат от (11-7) от инструкцията. За тях е нужен допълнителен вход на мултиплексора.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 </w:t>
      </w:r>
      <w:r>
        <w:rPr>
          <w:b/>
          <w:bCs/>
          <w:highlight w:val="none"/>
        </w:rPr>
        <w:t xml:space="preserve">3 </w:t>
      </w:r>
      <w:r>
        <w:rPr>
          <w:b w:val="0"/>
          <w:bCs w:val="0"/>
          <w:highlight w:val="none"/>
        </w:rPr>
        <w:t xml:space="preserve">е първата разлика в таблиците. В </w:t>
      </w:r>
      <w:r>
        <w:rPr>
          <w:b w:val="0"/>
          <w:bCs w:val="0"/>
          <w:highlight w:val="none"/>
        </w:rPr>
        <w:t xml:space="preserve">4.17 понеже последния бит се shift-left-ва, което разширява ефективния формат 2 пъти( 2 пъти по-голям скок), битовете (11-5) в 4.17 са изместени с един на ляво, което създава допълнително ненужни входове. При използване на SB форматът този проблем е решен.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В 4 и 5 ситуацията е сходна.</w:t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С добавянето на SB и UJ нужният хардуер, както и латенцията на елемента(imm gen) намаляват.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4"/>
        <w:numPr>
          <w:ilvl w:val="0"/>
          <w:numId w:val="10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Допълнителна Теория: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1729" cy="334482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61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661727" cy="3344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7.07pt;height:263.3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1640" cy="436524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7314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21639" cy="4365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9.03pt;height:343.7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4"/>
        <w:numPr>
          <w:ilvl w:val="0"/>
          <w:numId w:val="6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 протокола: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4.1, 4.3, 4.4, 4.5, 4.6 от учебника - стр.</w:t>
      </w:r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370</w:t>
      </w:r>
      <w:r>
        <w:rPr>
          <w:b/>
          <w:bCs/>
          <w:highlight w:val="none"/>
        </w:rPr>
        <w:t xml:space="preserve">.</w:t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4"/>
        <w:numPr>
          <w:ilvl w:val="0"/>
          <w:numId w:val="8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Упражнения</w:t>
      </w:r>
      <w:r>
        <w:rPr>
          <w:b w:val="0"/>
          <w:bCs w:val="0"/>
          <w:highlight w:val="none"/>
        </w:rPr>
        <w:t xml:space="preserve">: </w:t>
      </w:r>
      <w:hyperlink r:id="rId16" w:tooltip="упражнения" w:history="1">
        <w:r>
          <w:rPr>
            <w:rStyle w:val="832"/>
            <w:b w:val="0"/>
            <w:bCs w:val="0"/>
            <w:highlight w:val="none"/>
          </w:rPr>
          <w:t xml:space="preserve">https://github.com/tu-iyan/Computer-Architecture-2024</w:t>
        </w:r>
        <w:r>
          <w:rPr>
            <w:rStyle w:val="832"/>
            <w:b w:val="0"/>
            <w:bCs w:val="0"/>
            <w:highlight w:val="none"/>
          </w:rPr>
        </w:r>
        <w:r>
          <w:rPr>
            <w:rStyle w:val="832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Учебник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hyperlink r:id="rId17" w:tooltip="учебник" w:history="1">
        <w:r>
          <w:rPr>
            <w:rStyle w:val="832"/>
            <w:b w:val="0"/>
            <w:bCs w:val="0"/>
            <w:highlight w:val="none"/>
          </w:rPr>
          <w:t xml:space="preserve">http://library.lol/main/373C67B0C5E22C9B92B1D8FACDC47E68</w:t>
        </w:r>
        <w:r>
          <w:rPr>
            <w:rStyle w:val="832"/>
            <w:b w:val="0"/>
            <w:bCs w:val="0"/>
            <w:highlight w:val="none"/>
          </w:rPr>
        </w:r>
        <w:r>
          <w:rPr>
            <w:rStyle w:val="832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&#1091;&#1087;&#1088;&#1072;&#1078;&#1085;&#1077;&#1085;&#1080;&#1103;" TargetMode="External"/><Relationship Id="rId17" Type="http://schemas.openxmlformats.org/officeDocument/2006/relationships/hyperlink" Target="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2024-02-19T22:54:51Z</dcterms:modified>
</cp:coreProperties>
</file>